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4B0DC" w14:textId="4AB59920" w:rsidR="00F01EB9" w:rsidRDefault="00163A52" w:rsidP="009B17A1">
      <w:r>
        <w:rPr>
          <w:b/>
          <w:bCs/>
        </w:rPr>
        <w:t xml:space="preserve">Symposium </w:t>
      </w:r>
      <w:r w:rsidR="009B17A1" w:rsidRPr="007B5928">
        <w:rPr>
          <w:b/>
          <w:bCs/>
        </w:rPr>
        <w:t>Title</w:t>
      </w:r>
      <w:r w:rsidR="009B17A1">
        <w:t xml:space="preserve">: </w:t>
      </w:r>
      <w:r w:rsidR="006A3307" w:rsidRPr="0072218A">
        <w:t xml:space="preserve">From </w:t>
      </w:r>
      <w:r w:rsidR="006A3307">
        <w:t>M</w:t>
      </w:r>
      <w:r w:rsidR="006A3307" w:rsidRPr="0072218A">
        <w:t xml:space="preserve">olecules to </w:t>
      </w:r>
      <w:r w:rsidR="006A3307">
        <w:t>P</w:t>
      </w:r>
      <w:r w:rsidR="006A3307" w:rsidRPr="0072218A">
        <w:t>arent-</w:t>
      </w:r>
      <w:r w:rsidR="006A3307">
        <w:t>C</w:t>
      </w:r>
      <w:r w:rsidR="006A3307" w:rsidRPr="0072218A">
        <w:t xml:space="preserve">hild </w:t>
      </w:r>
      <w:r w:rsidR="006A3307">
        <w:t>D</w:t>
      </w:r>
      <w:r w:rsidR="006A3307" w:rsidRPr="0072218A">
        <w:t xml:space="preserve">yads: Applying the </w:t>
      </w:r>
      <w:r w:rsidR="006A3307">
        <w:t>B</w:t>
      </w:r>
      <w:r w:rsidR="006A3307" w:rsidRPr="0072218A">
        <w:t xml:space="preserve">iopsychosocial </w:t>
      </w:r>
      <w:r w:rsidR="006A3307">
        <w:t>M</w:t>
      </w:r>
      <w:r w:rsidR="006A3307" w:rsidRPr="0072218A">
        <w:t xml:space="preserve">odel of </w:t>
      </w:r>
      <w:r w:rsidR="006A3307">
        <w:t>P</w:t>
      </w:r>
      <w:r w:rsidR="006A3307" w:rsidRPr="0072218A">
        <w:t xml:space="preserve">ain to </w:t>
      </w:r>
      <w:r w:rsidR="006A3307">
        <w:t>Children with Developmental</w:t>
      </w:r>
      <w:r w:rsidR="006A3307" w:rsidRPr="0072218A">
        <w:t xml:space="preserve"> </w:t>
      </w:r>
      <w:r w:rsidR="006A3307">
        <w:t>D</w:t>
      </w:r>
      <w:r w:rsidR="006A3307" w:rsidRPr="0072218A">
        <w:t>isabilities</w:t>
      </w:r>
    </w:p>
    <w:p w14:paraId="7AF660EF" w14:textId="7B157825" w:rsidR="00163A52" w:rsidRDefault="00163A52" w:rsidP="009B17A1">
      <w:r>
        <w:rPr>
          <w:b/>
          <w:bCs/>
        </w:rPr>
        <w:t>Chair</w:t>
      </w:r>
      <w:r w:rsidR="009B17A1">
        <w:t xml:space="preserve">: </w:t>
      </w:r>
      <w:r w:rsidR="006A3307">
        <w:t>Frank Symons</w:t>
      </w:r>
      <w:r w:rsidR="0064135E">
        <w:rPr>
          <w:rStyle w:val="FootnoteReference"/>
        </w:rPr>
        <w:footnoteReference w:id="1"/>
      </w:r>
    </w:p>
    <w:p w14:paraId="623354BE" w14:textId="0043A5CE" w:rsidR="009B17A1" w:rsidRDefault="00163A52" w:rsidP="009B17A1">
      <w:r w:rsidRPr="00163A52">
        <w:rPr>
          <w:b/>
          <w:bCs/>
        </w:rPr>
        <w:t>Discussant</w:t>
      </w:r>
      <w:r>
        <w:t xml:space="preserve">: </w:t>
      </w:r>
      <w:r w:rsidR="00F97619" w:rsidRPr="00F97619">
        <w:t>Todd Dalberg</w:t>
      </w:r>
      <w:r w:rsidR="002A64F0" w:rsidRPr="00F97619">
        <w:rPr>
          <w:rStyle w:val="FootnoteReference"/>
        </w:rPr>
        <w:footnoteReference w:id="2"/>
      </w:r>
    </w:p>
    <w:p w14:paraId="22FE818A" w14:textId="40BD9D07" w:rsidR="009B17A1" w:rsidRDefault="00163A52" w:rsidP="009B17A1">
      <w:r>
        <w:rPr>
          <w:b/>
          <w:bCs/>
        </w:rPr>
        <w:t>Overview</w:t>
      </w:r>
      <w:r w:rsidR="009B17A1">
        <w:t xml:space="preserve">: </w:t>
      </w:r>
      <w:r w:rsidR="006A3307" w:rsidRPr="006A3307">
        <w:t>Children with developmental disabilities (DD) and associated intellectual disability are at risk of</w:t>
      </w:r>
      <w:r w:rsidR="00811620">
        <w:t xml:space="preserve"> their</w:t>
      </w:r>
      <w:r w:rsidR="006A3307" w:rsidRPr="006A3307">
        <w:t xml:space="preserve"> pain being ignored, misunderstood, and/or undertreated. This symposium aims to advance the scientific understanding of pain specific to individuals with DD. Pain assessment and management is an especially complex task for children with DD and associated motor, sensory, and/or communicative impairments. There is reason to suspect that children with DD experience a great deal of pain from multiple sources and procedures, yet children with DD often have challenges in communication, making self-report of pain difficult and sometimes impossible. This can be exacerbated when healthcare providers do not know how to talk to people with DD about their symptoms. Further, individuals with DD may be less able to effectively cope and care for themselves when in pain, rendering them highly vulnerable. Clinicians often have little expertise in identifying and treating pain in this complex population and may be hesitant to provide treatment, especially when the person is already taking other medications. Finally, there is some evidence that individuals with DD may be more sensitive to pain than their peers. This is especially troubling when a persisting belief among clinicians and caregivers holds that individuals with DD are less sensitive or indifferent to pain. Given these serious issues complicating the pain assessment and management of this vulnerable population, it seems warranted to organize a specific symposium focused on addressing the problems of pain in individuals with DD by providing the field an update on current research and findings from three ongoing projects </w:t>
      </w:r>
      <w:r w:rsidR="00811620">
        <w:t xml:space="preserve">including </w:t>
      </w:r>
      <w:r w:rsidR="006A3307" w:rsidRPr="006A3307">
        <w:t>biomarkers and their association with pain status and clinical characteristics</w:t>
      </w:r>
      <w:r w:rsidR="00811620">
        <w:t xml:space="preserve"> in a cerebral palsy </w:t>
      </w:r>
      <w:r w:rsidR="00EE52A7">
        <w:t xml:space="preserve">(CP) </w:t>
      </w:r>
      <w:r w:rsidR="00811620">
        <w:t>sample</w:t>
      </w:r>
      <w:r w:rsidR="006A3307" w:rsidRPr="006A3307">
        <w:t xml:space="preserve">, characterizing sensory profiles and chronic pain in </w:t>
      </w:r>
      <w:r w:rsidR="00EE52A7">
        <w:t>CP</w:t>
      </w:r>
      <w:r w:rsidR="006A3307" w:rsidRPr="006A3307">
        <w:t xml:space="preserve">, </w:t>
      </w:r>
      <w:r w:rsidR="003E4DD9">
        <w:t>associations between self-reported pain and observed behavioral reactivity during a sensory test in youth with CP</w:t>
      </w:r>
      <w:r w:rsidR="006A3307" w:rsidRPr="006A3307">
        <w:t>, and parent-child interactions in relation to pain expression</w:t>
      </w:r>
      <w:r w:rsidR="00811620">
        <w:t xml:space="preserve"> in children with global developmental delay</w:t>
      </w:r>
      <w:r w:rsidR="006A3307" w:rsidRPr="006A3307">
        <w:t>.</w:t>
      </w:r>
    </w:p>
    <w:p w14:paraId="1AB18FF1" w14:textId="00B1ABF4" w:rsidR="00163A52" w:rsidRPr="00163A52" w:rsidRDefault="00163A52" w:rsidP="00163A52">
      <w:pPr>
        <w:jc w:val="center"/>
        <w:rPr>
          <w:b/>
          <w:bCs/>
        </w:rPr>
      </w:pPr>
      <w:r w:rsidRPr="00163A52">
        <w:rPr>
          <w:b/>
          <w:bCs/>
        </w:rPr>
        <w:t xml:space="preserve">Paper 1 of </w:t>
      </w:r>
      <w:r w:rsidR="0064135E">
        <w:rPr>
          <w:b/>
          <w:bCs/>
        </w:rPr>
        <w:t>4</w:t>
      </w:r>
    </w:p>
    <w:p w14:paraId="0D16475B" w14:textId="5BFEC10D" w:rsidR="006A3307" w:rsidRDefault="00163A52" w:rsidP="006A3307">
      <w:r w:rsidRPr="002A64F0">
        <w:rPr>
          <w:b/>
          <w:bCs/>
        </w:rPr>
        <w:t>Paper Title</w:t>
      </w:r>
      <w:r w:rsidR="00E16715">
        <w:t xml:space="preserve">: </w:t>
      </w:r>
      <w:r w:rsidR="006A3307">
        <w:t xml:space="preserve">Inflammatory Biomarkers, </w:t>
      </w:r>
      <w:r w:rsidR="006A3307" w:rsidRPr="00FA2298">
        <w:t>Pain</w:t>
      </w:r>
      <w:r w:rsidR="006A3307">
        <w:t xml:space="preserve"> Experiences, and Health </w:t>
      </w:r>
      <w:r w:rsidR="006A3307" w:rsidRPr="00FA2298">
        <w:t>in Children with Cerebral Palsy</w:t>
      </w:r>
    </w:p>
    <w:p w14:paraId="1B234F39" w14:textId="4DBCE724" w:rsidR="006A3307" w:rsidRDefault="00163A52" w:rsidP="00163A52">
      <w:r w:rsidRPr="002A64F0">
        <w:rPr>
          <w:b/>
          <w:bCs/>
        </w:rPr>
        <w:t>Authors</w:t>
      </w:r>
      <w:r>
        <w:t xml:space="preserve">: </w:t>
      </w:r>
      <w:r w:rsidR="006A3307" w:rsidRPr="00FA2298">
        <w:t>Alyssa Merbler</w:t>
      </w:r>
      <w:r w:rsidR="006A3307">
        <w:rPr>
          <w:rStyle w:val="FootnoteReference"/>
        </w:rPr>
        <w:footnoteRef/>
      </w:r>
      <w:r w:rsidR="006A3307" w:rsidRPr="00FA2298">
        <w:t>, Chantel Burkitt</w:t>
      </w:r>
      <w:r w:rsidR="00B262EC">
        <w:rPr>
          <w:vertAlign w:val="superscript"/>
        </w:rPr>
        <w:t>1,2</w:t>
      </w:r>
      <w:r w:rsidR="006A3307" w:rsidRPr="00FA2298">
        <w:t>, Michael Erhardt</w:t>
      </w:r>
      <w:r w:rsidR="006A3307">
        <w:rPr>
          <w:rStyle w:val="FootnoteReference"/>
        </w:rPr>
        <w:footnoteRef/>
      </w:r>
      <w:r w:rsidR="006A3307" w:rsidRPr="00FA2298">
        <w:t>, Angela Panoskaltsis-Mortari</w:t>
      </w:r>
      <w:r w:rsidR="006A3307">
        <w:rPr>
          <w:rStyle w:val="FootnoteReference"/>
        </w:rPr>
        <w:footnoteRef/>
      </w:r>
      <w:r w:rsidR="006A3307" w:rsidRPr="00FA2298">
        <w:t>, and Frank Symons</w:t>
      </w:r>
      <w:r w:rsidR="006A3307">
        <w:rPr>
          <w:rStyle w:val="FootnoteReference"/>
        </w:rPr>
        <w:footnoteRef/>
      </w:r>
      <w:r w:rsidR="006A3307">
        <w:t>*</w:t>
      </w:r>
    </w:p>
    <w:p w14:paraId="50BCC3F6" w14:textId="1110D6AC" w:rsidR="00163A52" w:rsidRDefault="00163A52" w:rsidP="00163A52">
      <w:r w:rsidRPr="002A64F0">
        <w:rPr>
          <w:b/>
          <w:bCs/>
        </w:rPr>
        <w:t>Introduction</w:t>
      </w:r>
      <w:r>
        <w:t xml:space="preserve">: </w:t>
      </w:r>
      <w:r w:rsidR="006A3307">
        <w:t xml:space="preserve">Chronic pain is a well-recognized but poorly understood public health problem in cerebral palsy (CP), </w:t>
      </w:r>
      <w:r w:rsidR="006A3307" w:rsidRPr="003C230D">
        <w:t>the most common cause of childhood physical disability.</w:t>
      </w:r>
      <w:r w:rsidR="006A3307" w:rsidRPr="003C230D">
        <w:rPr>
          <w:vertAlign w:val="superscript"/>
        </w:rPr>
        <w:t>1</w:t>
      </w:r>
      <w:r w:rsidR="006A3307" w:rsidRPr="003C230D">
        <w:t xml:space="preserve"> There is an established literature examining levels of individual cytokines related to pro- and anti-inflammatory processes in CP, demonstrating cytokine dysregulation and associations with pain status.</w:t>
      </w:r>
      <w:r w:rsidR="006A3307" w:rsidRPr="003C230D">
        <w:rPr>
          <w:vertAlign w:val="superscript"/>
        </w:rPr>
        <w:t>2</w:t>
      </w:r>
      <w:r w:rsidR="006A3307" w:rsidRPr="003C230D">
        <w:t xml:space="preserve"> An emerging perspective, however, suggests assessing the equilibrium of inflammatory processes in the body by examining ratios of pro- to anti-inflammatory (PI:AI) cytokines.</w:t>
      </w:r>
      <w:r w:rsidR="006A3307" w:rsidRPr="003C230D">
        <w:rPr>
          <w:vertAlign w:val="superscript"/>
        </w:rPr>
        <w:t>3</w:t>
      </w:r>
      <w:r w:rsidR="006A3307" w:rsidRPr="003C230D">
        <w:t xml:space="preserve"> This has yet to be examined </w:t>
      </w:r>
      <w:r w:rsidR="006A3307" w:rsidRPr="003C230D">
        <w:lastRenderedPageBreak/>
        <w:t>in cerebral palsy. The purpose of this study was to examine PI:AI ratios and their relationship to pain and other health factors in children with CP</w:t>
      </w:r>
      <w:r w:rsidR="006A3307">
        <w:t xml:space="preserve">. </w:t>
      </w:r>
    </w:p>
    <w:p w14:paraId="56DA41D9" w14:textId="21493673" w:rsidR="009B17A1" w:rsidRDefault="009B17A1" w:rsidP="009B17A1">
      <w:r w:rsidRPr="007B5928">
        <w:rPr>
          <w:b/>
          <w:bCs/>
        </w:rPr>
        <w:t>Method</w:t>
      </w:r>
      <w:r>
        <w:t xml:space="preserve">: </w:t>
      </w:r>
      <w:r w:rsidR="006A3307" w:rsidRPr="003C230D">
        <w:t>As part of a larger study related to pain and sensory function in CP, 345 participants with CP aged 5-21 years (mean = 12.4 years, SD= 4.7; 42% female) were recruited using stratified-random-sampling and had saliva samples available for analyses. Caregivers completed several questionnaires related to health and a semi-structured interview on the child’s current pain experiences, including pain in the last seven days (acute pain) and the frequency of chronic pain (daily, intermittent, none). We examined nine previously-published PI:AI ratios (IL2:IL4, IL2:IL10, IL6:IL10, IL1ß:IL10, TNFα:IL-4, TNFα:IL-6, TNFα:IL-10, IFNɣ [interferon gamma]:IL-4),</w:t>
      </w:r>
      <w:r w:rsidR="006A3307" w:rsidRPr="003C230D">
        <w:rPr>
          <w:rFonts w:asciiTheme="minorHAnsi" w:hAnsiTheme="minorHAnsi" w:cstheme="minorHAnsi"/>
          <w:sz w:val="22"/>
          <w:vertAlign w:val="superscript"/>
        </w:rPr>
        <w:t xml:space="preserve">4-6 </w:t>
      </w:r>
      <w:r w:rsidR="006A3307" w:rsidRPr="003C230D">
        <w:t>with age, sex, gross motor function, surgical history, preterm yes/no, CP cause, chronic pain frequency, acute pain, and time frozen to control for any sample degradation as predictors in individual linear regression models. We used backwards elimination and Akaike Information Criterion (AIC) values at each step to reach the final model</w:t>
      </w:r>
      <w:r w:rsidRPr="009B17A1">
        <w:t>.</w:t>
      </w:r>
    </w:p>
    <w:p w14:paraId="4BAE4CCB" w14:textId="4608205D" w:rsidR="009B17A1" w:rsidRDefault="009B17A1" w:rsidP="009B17A1">
      <w:r w:rsidRPr="007B5928">
        <w:rPr>
          <w:b/>
          <w:bCs/>
        </w:rPr>
        <w:t>Results</w:t>
      </w:r>
      <w:r>
        <w:t>:</w:t>
      </w:r>
      <w:r w:rsidRPr="009B17A1">
        <w:t xml:space="preserve"> </w:t>
      </w:r>
      <w:r w:rsidR="006A3307" w:rsidRPr="003C230D">
        <w:t xml:space="preserve">Findings suggest PI:AI ratios were related to gross motor function, age, sex, and cause of cerebral palsy. Age was significant for almost all ratios, as was gross motor function, with the highest level of motor impairment associated with ratios skewed towards pro- vs. anti-inflammatory levels. Chronic pain was significant </w:t>
      </w:r>
      <w:r w:rsidR="00F96DF3">
        <w:t>for</w:t>
      </w:r>
      <w:r w:rsidR="006A3307" w:rsidRPr="003C230D">
        <w:t xml:space="preserve"> ratio (IFNɣ:IL4). Participants with intermittent vs. no or constant chronic pain had ratios skewed towards PI. While acute pain was not significant in any model, it was retained in the majority of models due to lowering the AIC of the model</w:t>
      </w:r>
      <w:r>
        <w:t>.</w:t>
      </w:r>
    </w:p>
    <w:p w14:paraId="5704A701" w14:textId="67D500BD" w:rsidR="009B17A1" w:rsidRDefault="009B17A1" w:rsidP="009B17A1">
      <w:r w:rsidRPr="007B5928">
        <w:rPr>
          <w:b/>
          <w:bCs/>
        </w:rPr>
        <w:t>Discussion</w:t>
      </w:r>
      <w:r>
        <w:t xml:space="preserve">: </w:t>
      </w:r>
      <w:r w:rsidR="006A3307" w:rsidRPr="003C230D">
        <w:t>A ratio approach better characterizes the state of inflammatory homeostasis in children with CP tha</w:t>
      </w:r>
      <w:r w:rsidR="00F96DF3">
        <w:t>n</w:t>
      </w:r>
      <w:r w:rsidR="006A3307" w:rsidRPr="003C230D">
        <w:t xml:space="preserve"> individual molecular analysis alone. This study identified several health- and pain-related variables related to PI:AI ratios. While </w:t>
      </w:r>
      <w:r w:rsidR="00F97619">
        <w:t xml:space="preserve">chronic pain frequency </w:t>
      </w:r>
      <w:r w:rsidR="006A3307" w:rsidRPr="003C230D">
        <w:t>was significant for only one ratio, it was retained in several models due to its contribution to a lower AIC. Other ways of representing pain (e.g. duration, intensity) may provide more insight and should be examined in the future</w:t>
      </w:r>
      <w:r w:rsidRPr="009B17A1">
        <w:t>.</w:t>
      </w:r>
    </w:p>
    <w:p w14:paraId="66E644C0" w14:textId="77777777" w:rsidR="006A3307" w:rsidRDefault="009B17A1" w:rsidP="009B17A1">
      <w:pPr>
        <w:rPr>
          <w:b/>
          <w:bCs/>
        </w:rPr>
      </w:pPr>
      <w:r w:rsidRPr="007B5928">
        <w:rPr>
          <w:b/>
          <w:bCs/>
        </w:rPr>
        <w:t>References</w:t>
      </w:r>
    </w:p>
    <w:p w14:paraId="2AE8632D" w14:textId="77777777" w:rsidR="006A3307" w:rsidRPr="003C230D" w:rsidRDefault="006A3307" w:rsidP="006A3307">
      <w:pPr>
        <w:pStyle w:val="ListParagraph"/>
        <w:numPr>
          <w:ilvl w:val="0"/>
          <w:numId w:val="1"/>
        </w:numPr>
        <w:spacing w:after="0"/>
      </w:pPr>
      <w:r w:rsidRPr="003C230D">
        <w:t xml:space="preserve">Castle, K., Imms, C., &amp; Howie, L. (2007). Being in pain: A phenomenological study of young people with cerebral palsy. </w:t>
      </w:r>
      <w:r w:rsidRPr="003C230D">
        <w:rPr>
          <w:i/>
          <w:iCs/>
        </w:rPr>
        <w:t>Developmental Medicine &amp; Child Neurology, 49</w:t>
      </w:r>
      <w:r w:rsidRPr="003C230D">
        <w:t>(6), 445-449.</w:t>
      </w:r>
    </w:p>
    <w:p w14:paraId="30317EA1" w14:textId="77777777" w:rsidR="006A3307" w:rsidRPr="003C230D" w:rsidRDefault="006A3307" w:rsidP="006A3307">
      <w:pPr>
        <w:pStyle w:val="ListParagraph"/>
        <w:numPr>
          <w:ilvl w:val="0"/>
          <w:numId w:val="1"/>
        </w:numPr>
        <w:spacing w:after="0"/>
      </w:pPr>
      <w:r w:rsidRPr="003C230D">
        <w:t>Symons, F. J., ElGhazi, I., Reilly, B. G., Barney, C. C., Hanson, L., Panoskaltsis-Mortari, A., ... &amp; Wilcox, G. L. (2015). Can biomarkers differentiate pain and no pain subgroups of nonverbal children with cerebral palsy? A preliminary investigation based on noninvasive saliva sampling</w:t>
      </w:r>
      <w:r w:rsidRPr="003C230D">
        <w:rPr>
          <w:i/>
          <w:iCs/>
        </w:rPr>
        <w:t>. Pain Medicine, 16</w:t>
      </w:r>
      <w:r w:rsidRPr="003C230D">
        <w:t>(2), 249-256.</w:t>
      </w:r>
    </w:p>
    <w:p w14:paraId="75D3B2B0" w14:textId="6778865C" w:rsidR="006A3307" w:rsidRPr="003C230D" w:rsidRDefault="006A3307" w:rsidP="006A3307">
      <w:pPr>
        <w:pStyle w:val="ListParagraph"/>
        <w:numPr>
          <w:ilvl w:val="0"/>
          <w:numId w:val="1"/>
        </w:numPr>
        <w:spacing w:after="0"/>
      </w:pPr>
      <w:r w:rsidRPr="003C230D">
        <w:t xml:space="preserve">Samuel, P. (2020). Cytokine analysis: A fresh perspective. </w:t>
      </w:r>
      <w:r w:rsidRPr="00173F1F">
        <w:rPr>
          <w:i/>
          <w:iCs/>
        </w:rPr>
        <w:t>Journal of Interferon &amp; Cytokine Research</w:t>
      </w:r>
      <w:r w:rsidRPr="00EC59BF">
        <w:rPr>
          <w:i/>
          <w:iCs/>
        </w:rPr>
        <w:t>, 40</w:t>
      </w:r>
      <w:r w:rsidRPr="003C230D">
        <w:t>(11), 511-514.</w:t>
      </w:r>
    </w:p>
    <w:p w14:paraId="557AFFB9" w14:textId="77777777" w:rsidR="006A3307" w:rsidRPr="003C230D" w:rsidRDefault="006A3307" w:rsidP="006A3307">
      <w:pPr>
        <w:pStyle w:val="ListParagraph"/>
        <w:numPr>
          <w:ilvl w:val="0"/>
          <w:numId w:val="1"/>
        </w:numPr>
        <w:spacing w:after="0"/>
      </w:pPr>
      <w:r w:rsidRPr="003C230D">
        <w:t xml:space="preserve">Tosatti, J. A., Sóter, M. O., Ferreira, C. N., de FO Silva, I., Cândido, A. L., Sousa, M. O., ... &amp; Gomes, K. B. (2020). The hallmark of pro-and anti-inflammatory cytokine ratios in women with polycystic ovary syndrome. </w:t>
      </w:r>
      <w:r w:rsidRPr="003C230D">
        <w:rPr>
          <w:i/>
          <w:iCs/>
        </w:rPr>
        <w:t>Cytokine</w:t>
      </w:r>
      <w:r w:rsidRPr="003C230D">
        <w:t xml:space="preserve">, </w:t>
      </w:r>
      <w:r w:rsidRPr="003C230D">
        <w:rPr>
          <w:i/>
          <w:iCs/>
        </w:rPr>
        <w:t>134</w:t>
      </w:r>
      <w:r w:rsidRPr="003C230D">
        <w:t>, 155187.</w:t>
      </w:r>
    </w:p>
    <w:p w14:paraId="6AB14AB9" w14:textId="65A1D758" w:rsidR="006A3307" w:rsidRPr="003C230D" w:rsidRDefault="006A3307" w:rsidP="006A3307">
      <w:pPr>
        <w:pStyle w:val="ListParagraph"/>
        <w:numPr>
          <w:ilvl w:val="0"/>
          <w:numId w:val="1"/>
        </w:numPr>
        <w:spacing w:after="0"/>
      </w:pPr>
      <w:r w:rsidRPr="003C230D">
        <w:t>Teodorczyk-Injeyan, J., Triano, J., &amp; Injeyan, H.</w:t>
      </w:r>
      <w:r w:rsidR="00EC59BF">
        <w:t xml:space="preserve"> </w:t>
      </w:r>
      <w:r w:rsidRPr="003C230D">
        <w:t xml:space="preserve">(2019). Nonspecific low back pain: inflammatory profiles of patients with acute and chronic pain. </w:t>
      </w:r>
      <w:r w:rsidRPr="003C230D">
        <w:rPr>
          <w:i/>
          <w:iCs/>
        </w:rPr>
        <w:t>The Clinical Journal of Pain</w:t>
      </w:r>
      <w:r w:rsidRPr="003C230D">
        <w:t xml:space="preserve">, </w:t>
      </w:r>
      <w:r w:rsidRPr="003C230D">
        <w:rPr>
          <w:i/>
          <w:iCs/>
        </w:rPr>
        <w:t>35</w:t>
      </w:r>
      <w:r w:rsidRPr="003C230D">
        <w:t>(10), 818-825.</w:t>
      </w:r>
    </w:p>
    <w:p w14:paraId="05781DD1" w14:textId="77DF4DE1" w:rsidR="009B17A1" w:rsidRDefault="006A3307" w:rsidP="009B17A1">
      <w:pPr>
        <w:pStyle w:val="ListParagraph"/>
        <w:numPr>
          <w:ilvl w:val="0"/>
          <w:numId w:val="1"/>
        </w:numPr>
        <w:spacing w:after="0"/>
      </w:pPr>
      <w:r w:rsidRPr="003C230D">
        <w:lastRenderedPageBreak/>
        <w:t xml:space="preserve">Guo, J., Liu, C., Wang, Y., Feng, B., &amp; Zhang, X. (2015). Role of T helper lymphokines in the immune-inflammatory pathophysiology of schizophrenia: </w:t>
      </w:r>
      <w:r>
        <w:t>S</w:t>
      </w:r>
      <w:r w:rsidRPr="003C230D">
        <w:t xml:space="preserve">ystematic review and meta-analysis. </w:t>
      </w:r>
      <w:r w:rsidRPr="003C230D">
        <w:rPr>
          <w:i/>
          <w:iCs/>
        </w:rPr>
        <w:t xml:space="preserve">Nordic </w:t>
      </w:r>
      <w:r>
        <w:rPr>
          <w:i/>
          <w:iCs/>
        </w:rPr>
        <w:t>J</w:t>
      </w:r>
      <w:r w:rsidRPr="003C230D">
        <w:rPr>
          <w:i/>
          <w:iCs/>
        </w:rPr>
        <w:t xml:space="preserve">ournal of </w:t>
      </w:r>
      <w:r>
        <w:rPr>
          <w:i/>
          <w:iCs/>
        </w:rPr>
        <w:t>P</w:t>
      </w:r>
      <w:r w:rsidRPr="003C230D">
        <w:rPr>
          <w:i/>
          <w:iCs/>
        </w:rPr>
        <w:t>sychiatry</w:t>
      </w:r>
      <w:r w:rsidRPr="003C230D">
        <w:t xml:space="preserve">, </w:t>
      </w:r>
      <w:r w:rsidRPr="003C230D">
        <w:rPr>
          <w:i/>
          <w:iCs/>
        </w:rPr>
        <w:t>69</w:t>
      </w:r>
      <w:r w:rsidRPr="003C230D">
        <w:t>(5), 364-372</w:t>
      </w:r>
      <w:r w:rsidR="00C054C4">
        <w:t xml:space="preserve">. </w:t>
      </w:r>
    </w:p>
    <w:p w14:paraId="6F13206B" w14:textId="66C8F372" w:rsidR="0064135E" w:rsidRPr="00163A52" w:rsidRDefault="0064135E" w:rsidP="0064135E">
      <w:pPr>
        <w:jc w:val="center"/>
        <w:rPr>
          <w:b/>
          <w:bCs/>
        </w:rPr>
      </w:pPr>
      <w:r w:rsidRPr="00163A52">
        <w:rPr>
          <w:b/>
          <w:bCs/>
        </w:rPr>
        <w:t xml:space="preserve">Paper </w:t>
      </w:r>
      <w:r>
        <w:rPr>
          <w:b/>
          <w:bCs/>
        </w:rPr>
        <w:t>2</w:t>
      </w:r>
      <w:r w:rsidRPr="00163A52">
        <w:rPr>
          <w:b/>
          <w:bCs/>
        </w:rPr>
        <w:t xml:space="preserve"> of </w:t>
      </w:r>
      <w:r>
        <w:rPr>
          <w:b/>
          <w:bCs/>
        </w:rPr>
        <w:t>4</w:t>
      </w:r>
    </w:p>
    <w:p w14:paraId="5D0DC0B6" w14:textId="77777777" w:rsidR="006A3307" w:rsidRDefault="0064135E" w:rsidP="006A3307">
      <w:r w:rsidRPr="002A64F0">
        <w:rPr>
          <w:b/>
          <w:bCs/>
        </w:rPr>
        <w:t>Paper Title</w:t>
      </w:r>
      <w:r>
        <w:t xml:space="preserve">: </w:t>
      </w:r>
      <w:r w:rsidR="006A3307">
        <w:t>Creating Behavioral Response Profiles to a Modified Quantitative Sensory Test in Children with Cerebral Palsy</w:t>
      </w:r>
    </w:p>
    <w:p w14:paraId="74A51CF7" w14:textId="79DC764D" w:rsidR="0064135E" w:rsidRDefault="0064135E" w:rsidP="0064135E">
      <w:r w:rsidRPr="002A64F0">
        <w:rPr>
          <w:b/>
          <w:bCs/>
        </w:rPr>
        <w:t>Authors</w:t>
      </w:r>
      <w:r>
        <w:t xml:space="preserve">: </w:t>
      </w:r>
      <w:r w:rsidR="004C0D57">
        <w:t>Alyssa Merbler</w:t>
      </w:r>
      <w:r w:rsidR="004C0D57">
        <w:rPr>
          <w:rStyle w:val="FootnoteReference"/>
        </w:rPr>
        <w:footnoteRef/>
      </w:r>
      <w:r w:rsidR="004C0D57">
        <w:t>, Chantel Burkitt</w:t>
      </w:r>
      <w:r w:rsidR="00B262EC">
        <w:rPr>
          <w:vertAlign w:val="superscript"/>
        </w:rPr>
        <w:t>1,2</w:t>
      </w:r>
      <w:r w:rsidR="004C0D57">
        <w:t>, Darin Erickson</w:t>
      </w:r>
      <w:r w:rsidR="004C0D57">
        <w:rPr>
          <w:rStyle w:val="FootnoteReference"/>
        </w:rPr>
        <w:footnoteRef/>
      </w:r>
      <w:r w:rsidR="004C0D57">
        <w:t>, Donald Simone</w:t>
      </w:r>
      <w:r w:rsidR="004C0D57">
        <w:rPr>
          <w:rStyle w:val="FootnoteReference"/>
        </w:rPr>
        <w:footnoteRef/>
      </w:r>
      <w:r w:rsidR="004C0D57">
        <w:t>, &amp; Frank Symons</w:t>
      </w:r>
      <w:r w:rsidR="004C0D57">
        <w:rPr>
          <w:rStyle w:val="FootnoteReference"/>
        </w:rPr>
        <w:footnoteRef/>
      </w:r>
    </w:p>
    <w:p w14:paraId="7D55242A" w14:textId="3614EFFB" w:rsidR="0064135E" w:rsidRDefault="0064135E" w:rsidP="0064135E">
      <w:r w:rsidRPr="00AA1DD8">
        <w:rPr>
          <w:b/>
          <w:bCs/>
        </w:rPr>
        <w:t>Introduction</w:t>
      </w:r>
      <w:r w:rsidRPr="00AA1DD8">
        <w:t xml:space="preserve">: </w:t>
      </w:r>
      <w:r w:rsidR="004C0D57" w:rsidRPr="00AA1DD8">
        <w:t xml:space="preserve">Cerebral palsy (CP) is </w:t>
      </w:r>
      <w:r w:rsidR="00AA1DD8" w:rsidRPr="00AA1DD8">
        <w:t>an umbrella condition affecting muscle tone, movements, and sensory function</w:t>
      </w:r>
      <w:r w:rsidR="004C0D57" w:rsidRPr="00AA1DD8">
        <w:t>.</w:t>
      </w:r>
      <w:r w:rsidR="004C0D57" w:rsidRPr="00AA1DD8">
        <w:rPr>
          <w:vertAlign w:val="superscript"/>
        </w:rPr>
        <w:t>1</w:t>
      </w:r>
      <w:r w:rsidR="004C0D57">
        <w:t xml:space="preserve"> There i</w:t>
      </w:r>
      <w:r w:rsidR="00AA1DD8">
        <w:t xml:space="preserve">s </w:t>
      </w:r>
      <w:r w:rsidR="004C0D57">
        <w:t xml:space="preserve">significant heterogeneity in sensorimotor function, </w:t>
      </w:r>
      <w:r w:rsidR="00AA1DD8">
        <w:t xml:space="preserve">however, </w:t>
      </w:r>
      <w:r w:rsidR="004C0D57">
        <w:t>with implications for pain management</w:t>
      </w:r>
      <w:r w:rsidR="00AA1DD8">
        <w:t xml:space="preserve"> and quality of life</w:t>
      </w:r>
      <w:r w:rsidR="004C0D57">
        <w:t>. Direct measurement of contributors to pain</w:t>
      </w:r>
      <w:r w:rsidR="00AA1DD8">
        <w:t xml:space="preserve"> </w:t>
      </w:r>
      <w:r w:rsidR="004C0D57">
        <w:t>may elucidate the pathophysiological mechanisms underpinning these experiences. This has been done in other clinical pain populations (e.g. neuropathic pain)</w:t>
      </w:r>
      <w:r w:rsidR="00AA1DD8">
        <w:t>,</w:t>
      </w:r>
      <w:r w:rsidR="004C0D57">
        <w:rPr>
          <w:vertAlign w:val="superscript"/>
        </w:rPr>
        <w:t>2</w:t>
      </w:r>
      <w:r w:rsidR="00AA1DD8">
        <w:rPr>
          <w:vertAlign w:val="superscript"/>
        </w:rPr>
        <w:t xml:space="preserve"> </w:t>
      </w:r>
      <w:r w:rsidR="00AA1DD8" w:rsidRPr="00AA1DD8">
        <w:t>including</w:t>
      </w:r>
      <w:r w:rsidR="00AA1DD8">
        <w:t xml:space="preserve"> </w:t>
      </w:r>
      <w:r w:rsidR="00AA1DD8" w:rsidRPr="00AA1DD8">
        <w:t>creating</w:t>
      </w:r>
      <w:r w:rsidR="00AA1DD8">
        <w:rPr>
          <w:vertAlign w:val="superscript"/>
        </w:rPr>
        <w:t xml:space="preserve"> </w:t>
      </w:r>
      <w:r w:rsidR="00AA1DD8">
        <w:t>sensory reactivity profiles to tactile stimuli,</w:t>
      </w:r>
      <w:r w:rsidR="004C0D57">
        <w:t xml:space="preserve"> but is almost non-existent in </w:t>
      </w:r>
      <w:r w:rsidR="00AA1DD8">
        <w:t xml:space="preserve">the literature for </w:t>
      </w:r>
      <w:r w:rsidR="004C0D57">
        <w:t>CP or other DD population</w:t>
      </w:r>
      <w:r w:rsidR="00AA1DD8">
        <w:t>s</w:t>
      </w:r>
      <w:r w:rsidR="004C0D57">
        <w:t xml:space="preserve">. </w:t>
      </w:r>
      <w:r w:rsidR="00F915DF">
        <w:t>P</w:t>
      </w:r>
      <w:r w:rsidR="004C0D57">
        <w:t>revious work has demonstrated the utility using a modified quantitative sensory test (mQST) to examine behavioral reactivity (BR) to different tactile stimuli to assess sensory experiences across the range of function in CP.</w:t>
      </w:r>
      <w:r w:rsidR="004C0D57">
        <w:rPr>
          <w:vertAlign w:val="superscript"/>
        </w:rPr>
        <w:t>3</w:t>
      </w:r>
      <w:r w:rsidR="004C0D57">
        <w:t xml:space="preserve"> Therefore, o</w:t>
      </w:r>
      <w:r w:rsidR="004C0D57" w:rsidRPr="002A7E88">
        <w:t xml:space="preserve">ur goal was to implement </w:t>
      </w:r>
      <w:r w:rsidR="004C0D57">
        <w:t>the (mQST)</w:t>
      </w:r>
      <w:r w:rsidR="004C0D57" w:rsidRPr="002A7E88">
        <w:t xml:space="preserve"> </w:t>
      </w:r>
      <w:r w:rsidR="004C0D57">
        <w:t>to</w:t>
      </w:r>
      <w:r w:rsidR="004C0D57" w:rsidRPr="002A7E88">
        <w:t xml:space="preserve"> test the feasibility of creating </w:t>
      </w:r>
      <w:r w:rsidR="004C0D57">
        <w:t xml:space="preserve">sensory reactivity profiles </w:t>
      </w:r>
      <w:r w:rsidR="004C0D57" w:rsidRPr="002A7E88">
        <w:t xml:space="preserve">from a large, randomly-selected clinical sample of individuals with </w:t>
      </w:r>
      <w:r w:rsidR="004C0D57">
        <w:t>CP</w:t>
      </w:r>
      <w:r w:rsidR="004C0D57" w:rsidRPr="002A7E88">
        <w:t xml:space="preserve"> </w:t>
      </w:r>
      <w:r w:rsidR="004C0D57">
        <w:t>and</w:t>
      </w:r>
      <w:r w:rsidR="004C0D57" w:rsidRPr="002A7E88">
        <w:t xml:space="preserve"> descriptively examine pain </w:t>
      </w:r>
      <w:r w:rsidR="004C0D57">
        <w:t>and</w:t>
      </w:r>
      <w:r w:rsidR="004C0D57" w:rsidRPr="002A7E88">
        <w:t xml:space="preserve"> clinical variables in relation to </w:t>
      </w:r>
      <w:r w:rsidR="004C0D57">
        <w:t xml:space="preserve">the </w:t>
      </w:r>
      <w:r w:rsidR="004C0D57" w:rsidRPr="002A7E88">
        <w:t>generated sensory profiles</w:t>
      </w:r>
      <w:r w:rsidRPr="0064135E">
        <w:t>.</w:t>
      </w:r>
    </w:p>
    <w:p w14:paraId="465969F3" w14:textId="60FB8AEF" w:rsidR="0064135E" w:rsidRDefault="0064135E" w:rsidP="0064135E">
      <w:r w:rsidRPr="007B5928">
        <w:rPr>
          <w:b/>
          <w:bCs/>
        </w:rPr>
        <w:t>Method</w:t>
      </w:r>
      <w:r>
        <w:t xml:space="preserve">: </w:t>
      </w:r>
      <w:r w:rsidR="004C0D57">
        <w:t xml:space="preserve">Participants with a diagnosis of CP aged 5-21 years were recruited as part of a larger study using a </w:t>
      </w:r>
      <w:r w:rsidR="004C0D57" w:rsidRPr="00531420">
        <w:t>proportional stratified sampling</w:t>
      </w:r>
      <w:r w:rsidR="004C0D57">
        <w:t xml:space="preserve"> approach based on CP type (e.g. spastic, mixed). At the time of analysis, 188 participants had completed mQSTs </w:t>
      </w:r>
      <w:r w:rsidR="00AA1DD8">
        <w:t>with</w:t>
      </w:r>
      <w:r w:rsidR="004C0D57">
        <w:t xml:space="preserve"> scored BR (mean age =</w:t>
      </w:r>
      <w:r w:rsidR="00AA1DD8">
        <w:t xml:space="preserve"> </w:t>
      </w:r>
      <w:r w:rsidR="004C0D57">
        <w:t>12.6yrs, SD = 4.9; 49% female). Acute and chronic pain experiences were collected from caregivers using a semi-structured interview. The mQST consisted of six calibrated tactile stimuli (light touch, pin prick, cool, pressure, repeated Von Frey, and heat) and sham trials applied to the calves of each participant and was video recorded</w:t>
      </w:r>
      <w:r w:rsidR="00AA1DD8">
        <w:t xml:space="preserve"> for later scoring</w:t>
      </w:r>
      <w:r w:rsidR="004C0D57">
        <w:t>. Observational coders scored BR for each application based on a modified Face, Leg, Activity, Crying, Consolability system (FLACC; score range 0-10 per application).</w:t>
      </w:r>
      <w:r w:rsidR="004C0D57" w:rsidRPr="003312E5">
        <w:rPr>
          <w:vertAlign w:val="superscript"/>
        </w:rPr>
        <w:t>4</w:t>
      </w:r>
      <w:r w:rsidR="004C0D57">
        <w:t xml:space="preserve"> Scores on each leg were averaged for latent class analysis (LCA). LCA model selection</w:t>
      </w:r>
      <w:r w:rsidR="00AA1DD8">
        <w:t xml:space="preserve"> </w:t>
      </w:r>
      <w:r w:rsidR="004C0D57">
        <w:t>balanced model fit and parsimony, with a minimum class size of  &gt;5% of the sample. Once selected, pain and clinical variables were described within and across classes</w:t>
      </w:r>
      <w:r w:rsidRPr="009B17A1">
        <w:t>.</w:t>
      </w:r>
    </w:p>
    <w:p w14:paraId="6F427181" w14:textId="14C08DAD" w:rsidR="0064135E" w:rsidRDefault="0064135E" w:rsidP="0064135E">
      <w:r w:rsidRPr="007B5928">
        <w:rPr>
          <w:b/>
          <w:bCs/>
        </w:rPr>
        <w:t>Results</w:t>
      </w:r>
      <w:r>
        <w:t>:</w:t>
      </w:r>
      <w:r w:rsidRPr="009B17A1">
        <w:t xml:space="preserve"> </w:t>
      </w:r>
      <w:r w:rsidR="004C0D57">
        <w:t xml:space="preserve">Of the188 participants included, 175 participants had data for the LCA. </w:t>
      </w:r>
      <w:r w:rsidR="002E6792">
        <w:t>Based on model selection criteria, the 6-class solution was selected for further analyses. Classes ranged from</w:t>
      </w:r>
      <w:r w:rsidR="004C0D57">
        <w:t xml:space="preserve"> relatively flat</w:t>
      </w:r>
      <w:r w:rsidR="002E6792">
        <w:t xml:space="preserve"> BR across stimuli</w:t>
      </w:r>
      <w:r w:rsidR="004C0D57">
        <w:t xml:space="preserve"> to relatively reactive patterns specific to different stimulus application modalities. For example, several subgroups had elevated reactivity to pin prick and the repeated Von Frey</w:t>
      </w:r>
      <w:r w:rsidR="002E6792">
        <w:t xml:space="preserve"> compared to other stimuli</w:t>
      </w:r>
      <w:r w:rsidR="004C0D57">
        <w:t xml:space="preserve">. Class 1 was the largest class, including 40% of participants, with a pattern of low, undifferentiated BR across stimuli and no stimulus terminations. Class 5 had the highest BR of any class across all stimuli, and Classes 5 and 6 had all but one participant terminated repeated Von </w:t>
      </w:r>
      <w:r w:rsidR="004C0D57">
        <w:lastRenderedPageBreak/>
        <w:t>Frey. BR for Class 6 was reduced but followed the same pattern as Class 5 with an elevated response for pin and substantial</w:t>
      </w:r>
      <w:r w:rsidR="002E6792">
        <w:t xml:space="preserve">, increasing </w:t>
      </w:r>
      <w:r w:rsidR="004E6AA3">
        <w:t>reactivity</w:t>
      </w:r>
      <w:r w:rsidR="002E6792">
        <w:t xml:space="preserve"> to repeated Von Frey</w:t>
      </w:r>
      <w:r w:rsidR="004C0D57">
        <w:t>, resulting in termination of repeated for all but one participant</w:t>
      </w:r>
      <w:r>
        <w:t>.</w:t>
      </w:r>
    </w:p>
    <w:p w14:paraId="2A29E4A8" w14:textId="0ECFF3E2" w:rsidR="004C0D57" w:rsidRDefault="004C0D57" w:rsidP="004C0D57">
      <w:r>
        <w:t xml:space="preserve">There were high levels of both acute and chronic pain across classes (up to 86% within class). Unlike all other classes, though, </w:t>
      </w:r>
      <w:r w:rsidRPr="007A411B">
        <w:t>Class 6</w:t>
      </w:r>
      <w:r>
        <w:t xml:space="preserve"> </w:t>
      </w:r>
      <w:r w:rsidRPr="007A411B">
        <w:t xml:space="preserve">had a majority </w:t>
      </w:r>
      <w:r>
        <w:t xml:space="preserve">specifically </w:t>
      </w:r>
      <w:r w:rsidRPr="007A411B">
        <w:t>reporting recent musculoskeletal pain</w:t>
      </w:r>
      <w:r>
        <w:t xml:space="preserve"> (e.g. spasms, muscle pain)</w:t>
      </w:r>
      <w:r w:rsidRPr="007A411B">
        <w:t>.</w:t>
      </w:r>
      <w:r>
        <w:t xml:space="preserve"> By percentage</w:t>
      </w:r>
      <w:r w:rsidR="002E6792">
        <w:t xml:space="preserve"> for chronic pain frequency</w:t>
      </w:r>
      <w:r>
        <w:t>, Classes 1, 4, 5, and 6’s highest response was daily chronic pain (36.2 - 54.5%). Class 2 had equal levels of intermittent and daily chronic pain as the highest answer (40%). Class 3 was the only class to have no chronic pain as the most common response (42.9%).</w:t>
      </w:r>
    </w:p>
    <w:p w14:paraId="7AC48F54" w14:textId="01CBB6B0" w:rsidR="0064135E" w:rsidRDefault="0064135E" w:rsidP="0064135E">
      <w:r w:rsidRPr="007B5928">
        <w:rPr>
          <w:b/>
          <w:bCs/>
        </w:rPr>
        <w:t>Discussion</w:t>
      </w:r>
      <w:r>
        <w:t xml:space="preserve">: </w:t>
      </w:r>
      <w:r w:rsidR="004C0D57">
        <w:t>This study demonstrated the ability to subgroup participants with CP based on observable BR to tactile stimuli</w:t>
      </w:r>
      <w:r w:rsidR="00B962B8">
        <w:t>, offering a promising approach to understanding the nature of sensory function and chronic pain</w:t>
      </w:r>
      <w:r w:rsidR="004C0D57">
        <w:t>. Classes ranged in the amount of BR to each stimulus, demonstrating the variability of sensory profiles within CP. While not formally tested, acute and chronic pain experiences may differ across groups</w:t>
      </w:r>
      <w:r w:rsidR="009D40B5">
        <w:t xml:space="preserve"> and be related to sensory function</w:t>
      </w:r>
      <w:r w:rsidR="004C0D57">
        <w:t xml:space="preserve">. </w:t>
      </w:r>
      <w:r w:rsidR="005A2F24" w:rsidRPr="005A2F24">
        <w:t xml:space="preserve">Addressing the heterogeneity problem </w:t>
      </w:r>
      <w:r w:rsidR="005A2F24">
        <w:t xml:space="preserve">of sensory experiences in CP </w:t>
      </w:r>
      <w:r w:rsidR="005A2F24" w:rsidRPr="005A2F24">
        <w:t xml:space="preserve">could be accomplished by testing subgrouping approaches </w:t>
      </w:r>
      <w:r w:rsidR="005A2F24">
        <w:t xml:space="preserve">and </w:t>
      </w:r>
      <w:r w:rsidR="005A2F24" w:rsidRPr="005A2F24">
        <w:t>multidimensional contributors to pain experience through phenotyping (i.e., directly measuring observable characteristics predictive of inter-individual variability).</w:t>
      </w:r>
      <w:r w:rsidR="00B962B8" w:rsidRPr="00B962B8">
        <w:rPr>
          <w:rFonts w:cs="Arial"/>
          <w:color w:val="000000"/>
          <w:sz w:val="23"/>
          <w:szCs w:val="23"/>
        </w:rPr>
        <w:t xml:space="preserve"> </w:t>
      </w:r>
      <w:r w:rsidR="00B962B8" w:rsidRPr="009631A3">
        <w:t>Analyses for the future, full-sample study will include these variables as predictors in the models to identify what demographics significantly vary by class</w:t>
      </w:r>
      <w:r w:rsidR="00B962B8">
        <w:t>.</w:t>
      </w:r>
    </w:p>
    <w:p w14:paraId="61BB8FA3" w14:textId="394F1E45" w:rsidR="0064135E" w:rsidRDefault="0064135E" w:rsidP="0064135E">
      <w:r w:rsidRPr="007B5928">
        <w:rPr>
          <w:b/>
          <w:bCs/>
        </w:rPr>
        <w:t>References</w:t>
      </w:r>
    </w:p>
    <w:p w14:paraId="5EAC930E" w14:textId="77777777" w:rsidR="006B3834" w:rsidRPr="003C230D" w:rsidRDefault="006B3834" w:rsidP="006B3834">
      <w:pPr>
        <w:pStyle w:val="ListParagraph"/>
        <w:numPr>
          <w:ilvl w:val="0"/>
          <w:numId w:val="2"/>
        </w:numPr>
        <w:spacing w:after="0"/>
      </w:pPr>
      <w:r w:rsidRPr="003C230D">
        <w:t xml:space="preserve">Castle, K., Imms, C., &amp; Howie, L. (2007). Being in pain: A phenomenological study of young people with cerebral palsy. </w:t>
      </w:r>
      <w:r w:rsidRPr="003C230D">
        <w:rPr>
          <w:i/>
          <w:iCs/>
        </w:rPr>
        <w:t>Developmental Medicine &amp; Child Neurology, 49</w:t>
      </w:r>
      <w:r w:rsidRPr="003C230D">
        <w:t>(6), 445-449.</w:t>
      </w:r>
    </w:p>
    <w:p w14:paraId="2491E622" w14:textId="6CE056B2" w:rsidR="006B3834" w:rsidRDefault="004C0D57" w:rsidP="004C0D57">
      <w:pPr>
        <w:pStyle w:val="ListParagraph"/>
        <w:numPr>
          <w:ilvl w:val="0"/>
          <w:numId w:val="2"/>
        </w:numPr>
      </w:pPr>
      <w:r>
        <w:t>Baron</w:t>
      </w:r>
      <w:r w:rsidR="006B3834">
        <w:t xml:space="preserve">, </w:t>
      </w:r>
      <w:r>
        <w:t>R</w:t>
      </w:r>
      <w:r w:rsidR="006B3834">
        <w:t>.</w:t>
      </w:r>
      <w:r>
        <w:t>, Maier C, Attal N…Treede R, on belalf of the German Neuropathic Pain Reasearch Network (DFNS), the EUROPAIN, and the NEUROPAIN consortia.</w:t>
      </w:r>
      <w:r w:rsidR="006B3834">
        <w:t xml:space="preserve"> (2017).</w:t>
      </w:r>
      <w:r>
        <w:t xml:space="preserve"> Peripheral neuropathic pain: A mechanism-related organizing principle based on sensory profiles. </w:t>
      </w:r>
      <w:r w:rsidR="006B3834" w:rsidRPr="006B3834">
        <w:rPr>
          <w:i/>
          <w:iCs/>
        </w:rPr>
        <w:t>PAIN,</w:t>
      </w:r>
      <w:r w:rsidRPr="006B3834">
        <w:rPr>
          <w:i/>
          <w:iCs/>
        </w:rPr>
        <w:t xml:space="preserve"> 158</w:t>
      </w:r>
      <w:r w:rsidR="006B3834">
        <w:t xml:space="preserve">, </w:t>
      </w:r>
      <w:r>
        <w:t>261-72</w:t>
      </w:r>
      <w:r w:rsidR="006B3834">
        <w:t xml:space="preserve">. </w:t>
      </w:r>
    </w:p>
    <w:p w14:paraId="52539688" w14:textId="0BB6632B" w:rsidR="00A71CAE" w:rsidRDefault="00A71CAE" w:rsidP="004C0D57">
      <w:pPr>
        <w:pStyle w:val="ListParagraph"/>
        <w:numPr>
          <w:ilvl w:val="0"/>
          <w:numId w:val="2"/>
        </w:numPr>
      </w:pPr>
      <w:r w:rsidRPr="00A71CAE">
        <w:t xml:space="preserve">Barney, </w:t>
      </w:r>
      <w:r>
        <w:t>C</w:t>
      </w:r>
      <w:r w:rsidRPr="00A71CAE">
        <w:t>., Merbler, A</w:t>
      </w:r>
      <w:r>
        <w:t>.</w:t>
      </w:r>
      <w:r w:rsidRPr="00A71CAE">
        <w:t xml:space="preserve">, Simone, D., Walk, D., &amp; Symons, F. (2020). Investigating the feasibility of a modified quantitative sensory testing approach to profile sensory function and predict pain outcomes following intrathecal baclofen implant surgery in cerebral palsy. </w:t>
      </w:r>
      <w:r w:rsidRPr="00A71CAE">
        <w:rPr>
          <w:i/>
          <w:iCs/>
        </w:rPr>
        <w:t>Pain Medicine, 21</w:t>
      </w:r>
      <w:r w:rsidRPr="00A71CAE">
        <w:t xml:space="preserve">(1), 109-117. </w:t>
      </w:r>
    </w:p>
    <w:p w14:paraId="2E4590DA" w14:textId="221B31AC" w:rsidR="004C0D57" w:rsidRDefault="004C0D57" w:rsidP="004C0D57">
      <w:pPr>
        <w:pStyle w:val="ListParagraph"/>
        <w:numPr>
          <w:ilvl w:val="0"/>
          <w:numId w:val="2"/>
        </w:numPr>
      </w:pPr>
      <w:r>
        <w:t>Voepel-Lewis, T., Merkel, S., Tait, A</w:t>
      </w:r>
      <w:r w:rsidR="00B62C7E">
        <w:t>.</w:t>
      </w:r>
      <w:r>
        <w:t>, Trzcinka, A., &amp; Malviya, S. (2002). The reliability and validity of the Face, Legs, Activity, Cry, Consolability observational tool as a measure of pain in children with cognitive impairment. Anesthesia &amp; Analgesia, 95(5), 1224-1229.</w:t>
      </w:r>
    </w:p>
    <w:p w14:paraId="46304025" w14:textId="51477382" w:rsidR="0064135E" w:rsidRPr="00163A52" w:rsidRDefault="0064135E" w:rsidP="0064135E">
      <w:pPr>
        <w:jc w:val="center"/>
        <w:rPr>
          <w:b/>
          <w:bCs/>
        </w:rPr>
      </w:pPr>
      <w:r w:rsidRPr="00163A52">
        <w:rPr>
          <w:b/>
          <w:bCs/>
        </w:rPr>
        <w:t xml:space="preserve">Paper </w:t>
      </w:r>
      <w:r>
        <w:rPr>
          <w:b/>
          <w:bCs/>
        </w:rPr>
        <w:t>3</w:t>
      </w:r>
      <w:r w:rsidRPr="00163A52">
        <w:rPr>
          <w:b/>
          <w:bCs/>
        </w:rPr>
        <w:t xml:space="preserve"> of </w:t>
      </w:r>
      <w:r>
        <w:rPr>
          <w:b/>
          <w:bCs/>
        </w:rPr>
        <w:t>4</w:t>
      </w:r>
    </w:p>
    <w:p w14:paraId="44199C37" w14:textId="631E86CD" w:rsidR="0064135E" w:rsidRDefault="0064135E" w:rsidP="0064135E">
      <w:r w:rsidRPr="002A64F0">
        <w:rPr>
          <w:b/>
          <w:bCs/>
        </w:rPr>
        <w:t>Paper Title</w:t>
      </w:r>
      <w:r>
        <w:t xml:space="preserve">: </w:t>
      </w:r>
      <w:r w:rsidR="00851000" w:rsidRPr="00851000">
        <w:t xml:space="preserve">A </w:t>
      </w:r>
      <w:r w:rsidR="00851000">
        <w:t>P</w:t>
      </w:r>
      <w:r w:rsidR="00851000" w:rsidRPr="00851000">
        <w:t xml:space="preserve">reliminary </w:t>
      </w:r>
      <w:r w:rsidR="00851000">
        <w:t>C</w:t>
      </w:r>
      <w:r w:rsidR="00851000" w:rsidRPr="00851000">
        <w:t xml:space="preserve">omparison of </w:t>
      </w:r>
      <w:r w:rsidR="00851000">
        <w:t>S</w:t>
      </w:r>
      <w:r w:rsidR="00851000" w:rsidRPr="00851000">
        <w:t>elf-</w:t>
      </w:r>
      <w:r w:rsidR="00851000">
        <w:t>R</w:t>
      </w:r>
      <w:r w:rsidR="00851000" w:rsidRPr="00851000">
        <w:t xml:space="preserve">eported </w:t>
      </w:r>
      <w:r w:rsidR="00851000">
        <w:t>P</w:t>
      </w:r>
      <w:r w:rsidR="00851000" w:rsidRPr="00851000">
        <w:t xml:space="preserve">ain and </w:t>
      </w:r>
      <w:r w:rsidR="00851000">
        <w:t>O</w:t>
      </w:r>
      <w:r w:rsidR="00851000" w:rsidRPr="00851000">
        <w:t xml:space="preserve">bserved </w:t>
      </w:r>
      <w:r w:rsidR="00851000">
        <w:t>B</w:t>
      </w:r>
      <w:r w:rsidR="00851000" w:rsidRPr="00851000">
        <w:t xml:space="preserve">ehavioral </w:t>
      </w:r>
      <w:r w:rsidR="00851000">
        <w:t>R</w:t>
      </w:r>
      <w:r w:rsidR="00851000" w:rsidRPr="00851000">
        <w:t xml:space="preserve">eactivity </w:t>
      </w:r>
      <w:r w:rsidR="00851000">
        <w:t>D</w:t>
      </w:r>
      <w:r w:rsidR="00851000" w:rsidRPr="00851000">
        <w:t xml:space="preserve">uring a </w:t>
      </w:r>
      <w:r w:rsidR="00851000">
        <w:t>M</w:t>
      </w:r>
      <w:r w:rsidR="00851000" w:rsidRPr="00851000">
        <w:t xml:space="preserve">odified </w:t>
      </w:r>
      <w:r w:rsidR="00851000">
        <w:t>Q</w:t>
      </w:r>
      <w:r w:rsidR="00851000" w:rsidRPr="00851000">
        <w:t xml:space="preserve">uantitative </w:t>
      </w:r>
      <w:r w:rsidR="00851000">
        <w:t>S</w:t>
      </w:r>
      <w:r w:rsidR="00851000" w:rsidRPr="00851000">
        <w:t xml:space="preserve">ensory </w:t>
      </w:r>
      <w:r w:rsidR="00851000">
        <w:t>T</w:t>
      </w:r>
      <w:r w:rsidR="00851000" w:rsidRPr="00851000">
        <w:t xml:space="preserve">est in </w:t>
      </w:r>
      <w:r w:rsidR="00851000">
        <w:t>Y</w:t>
      </w:r>
      <w:r w:rsidR="00851000" w:rsidRPr="00851000">
        <w:t xml:space="preserve">outh with </w:t>
      </w:r>
      <w:r w:rsidR="00851000">
        <w:t>C</w:t>
      </w:r>
      <w:r w:rsidR="00851000" w:rsidRPr="00851000">
        <w:t xml:space="preserve">erebral </w:t>
      </w:r>
      <w:r w:rsidR="00851000">
        <w:t>P</w:t>
      </w:r>
      <w:r w:rsidR="00851000" w:rsidRPr="00851000">
        <w:t>alsy</w:t>
      </w:r>
    </w:p>
    <w:p w14:paraId="258ABC7A" w14:textId="01CA0EDC" w:rsidR="0064135E" w:rsidRDefault="0064135E" w:rsidP="0064135E">
      <w:r w:rsidRPr="002A64F0">
        <w:rPr>
          <w:b/>
          <w:bCs/>
        </w:rPr>
        <w:t>Authors</w:t>
      </w:r>
      <w:r>
        <w:t xml:space="preserve">: </w:t>
      </w:r>
      <w:r w:rsidR="00851000" w:rsidRPr="00851000">
        <w:t>Chantel Burkitt</w:t>
      </w:r>
      <w:r w:rsidR="00851000" w:rsidRPr="00851000">
        <w:rPr>
          <w:vertAlign w:val="superscript"/>
        </w:rPr>
        <w:t>1,2</w:t>
      </w:r>
      <w:r w:rsidR="00851000">
        <w:t>,</w:t>
      </w:r>
      <w:r w:rsidR="00851000" w:rsidRPr="00851000">
        <w:t xml:space="preserve"> Alyssa Merbler</w:t>
      </w:r>
      <w:r w:rsidR="00851000" w:rsidRPr="00851000">
        <w:rPr>
          <w:vertAlign w:val="superscript"/>
        </w:rPr>
        <w:t>1</w:t>
      </w:r>
      <w:r w:rsidR="00851000">
        <w:t>,</w:t>
      </w:r>
      <w:r w:rsidR="00851000" w:rsidRPr="00851000">
        <w:t xml:space="preserve"> Liz Boyer</w:t>
      </w:r>
      <w:r w:rsidR="00851000" w:rsidRPr="00851000">
        <w:rPr>
          <w:vertAlign w:val="superscript"/>
        </w:rPr>
        <w:t>1,2</w:t>
      </w:r>
      <w:r w:rsidR="00851000">
        <w:t>,</w:t>
      </w:r>
      <w:r w:rsidR="00851000" w:rsidRPr="00851000">
        <w:t xml:space="preserve"> Riley Stone</w:t>
      </w:r>
      <w:r w:rsidR="00851000" w:rsidRPr="00851000">
        <w:rPr>
          <w:vertAlign w:val="superscript"/>
        </w:rPr>
        <w:t>2</w:t>
      </w:r>
      <w:r w:rsidR="00851000">
        <w:t>,</w:t>
      </w:r>
      <w:r w:rsidR="00851000" w:rsidRPr="00851000">
        <w:t xml:space="preserve"> Frank Symons</w:t>
      </w:r>
      <w:r w:rsidR="00851000" w:rsidRPr="00851000">
        <w:rPr>
          <w:vertAlign w:val="superscript"/>
        </w:rPr>
        <w:t>1</w:t>
      </w:r>
    </w:p>
    <w:p w14:paraId="566D6DA2" w14:textId="55D0CD4F" w:rsidR="0064135E" w:rsidRDefault="0064135E" w:rsidP="0064135E">
      <w:r w:rsidRPr="002A64F0">
        <w:rPr>
          <w:b/>
          <w:bCs/>
        </w:rPr>
        <w:lastRenderedPageBreak/>
        <w:t>Introduction</w:t>
      </w:r>
      <w:r>
        <w:t xml:space="preserve">: </w:t>
      </w:r>
      <w:r w:rsidR="00173F1F" w:rsidRPr="00173F1F">
        <w:t>Quantitative sensory testing (QST) is an approach used to investigate the integrity of the peripheral nervous system and detect enhanced pain sensitivity. Previous investigations of QST in cerebral palsy (CP) have either restricted inclusion criteria to individuals without cognitive impairment, relying on self-report, or have used a modified QST (mQST) approach across communication and motor abilities, scored via observed behavioral reactivity. In youth with CP, we aimed to test 1) whether self-reported pain scores were associated with observationally scored behavioral reactivity during mQST, and 2) whether pain or behavioral reactivity</w:t>
      </w:r>
      <w:r w:rsidR="004E6AA3">
        <w:t xml:space="preserve"> (BR)</w:t>
      </w:r>
      <w:r w:rsidR="00173F1F" w:rsidRPr="00173F1F">
        <w:t xml:space="preserve"> scores varied by age, communication level, cognitive impairment (CI) status, trait anxiety, or chronic pain presence</w:t>
      </w:r>
      <w:r w:rsidRPr="0064135E">
        <w:t>.</w:t>
      </w:r>
    </w:p>
    <w:p w14:paraId="3F13CD79" w14:textId="4CC52594" w:rsidR="0064135E" w:rsidRDefault="0064135E" w:rsidP="0064135E">
      <w:r w:rsidRPr="007B5928">
        <w:rPr>
          <w:b/>
          <w:bCs/>
        </w:rPr>
        <w:t>Method</w:t>
      </w:r>
      <w:r>
        <w:t xml:space="preserve">: </w:t>
      </w:r>
      <w:r w:rsidR="00173F1F" w:rsidRPr="00173F1F">
        <w:t xml:space="preserve">A cohort of 29 children and adolescents with CP (“youth”; mean age = 13.3 years [SD =2.6, range 9-18], 66% male, 79% ambulatory, 34% mild </w:t>
      </w:r>
      <w:r w:rsidR="004E6AA3">
        <w:t>cognitive impairment</w:t>
      </w:r>
      <w:r w:rsidR="00173F1F" w:rsidRPr="00173F1F">
        <w:t xml:space="preserve">, 10% moderate </w:t>
      </w:r>
      <w:r w:rsidR="004E6AA3">
        <w:t>cognitive impairment</w:t>
      </w:r>
      <w:r w:rsidR="00173F1F" w:rsidRPr="00173F1F">
        <w:t>) were enrolled as part of a larger ongoing study. Parents completed the communication subscale of the Adaptive Behavior Assessment Scale (ABAS-3)</w:t>
      </w:r>
      <w:r w:rsidR="004E6AA3">
        <w:t xml:space="preserve">. A </w:t>
      </w:r>
      <w:r w:rsidR="00173F1F" w:rsidRPr="00173F1F">
        <w:t>subscale scores of ≥7 were required for eliciting self-report and inclusion in th</w:t>
      </w:r>
      <w:r w:rsidR="004E6AA3">
        <w:t>ese analyses</w:t>
      </w:r>
      <w:r w:rsidR="00173F1F" w:rsidRPr="00173F1F">
        <w:t xml:space="preserve">. Parents </w:t>
      </w:r>
      <w:r w:rsidR="004E6AA3">
        <w:t xml:space="preserve">also </w:t>
      </w:r>
      <w:r w:rsidR="00173F1F" w:rsidRPr="00173F1F">
        <w:t xml:space="preserve">completed the Communication Function Classification Scale (CFCS) and the Dalhousie Pain Interview (DPI). Parents and youth completed the State-Trait Anxiety Inventory (STAI). The mQST was conducted by applying an array of calibrated tactile or acute nociceptive stimuli to the back of the calves. </w:t>
      </w:r>
      <w:r w:rsidR="004E6AA3">
        <w:t>After each stimulus, y</w:t>
      </w:r>
      <w:r w:rsidR="00173F1F" w:rsidRPr="00173F1F">
        <w:t>outh were prompted to report if they felt any pain and</w:t>
      </w:r>
      <w:r w:rsidR="004E6AA3">
        <w:t xml:space="preserve">, </w:t>
      </w:r>
      <w:r w:rsidR="00173F1F" w:rsidRPr="00173F1F">
        <w:t xml:space="preserve">if </w:t>
      </w:r>
      <w:r w:rsidR="004E6AA3">
        <w:t xml:space="preserve">so, </w:t>
      </w:r>
      <w:r w:rsidR="00173F1F" w:rsidRPr="00173F1F">
        <w:t>rate the pain (0 = no pain at all, 10 = worst pain ever</w:t>
      </w:r>
      <w:r w:rsidR="004E6AA3">
        <w:t xml:space="preserve">). BR </w:t>
      </w:r>
      <w:r w:rsidR="00173F1F" w:rsidRPr="00173F1F">
        <w:t xml:space="preserve">associated with the application of each stimulus was observationally scored from video using a modified Faces, Legs, Activity, Cry, Consolability, (FLACC) scale. For the purposes of this preliminary study, p &lt; </w:t>
      </w:r>
      <w:r w:rsidR="004E6AA3">
        <w:t>0</w:t>
      </w:r>
      <w:r w:rsidR="00173F1F" w:rsidRPr="00173F1F">
        <w:t>.10 was considered significant to minimize Type II error</w:t>
      </w:r>
      <w:r w:rsidRPr="009B17A1">
        <w:t>.</w:t>
      </w:r>
    </w:p>
    <w:p w14:paraId="251538FC" w14:textId="38813682" w:rsidR="0064135E" w:rsidRDefault="0064135E" w:rsidP="0064135E">
      <w:r w:rsidRPr="007B5928">
        <w:rPr>
          <w:b/>
          <w:bCs/>
        </w:rPr>
        <w:t>Results</w:t>
      </w:r>
      <w:r>
        <w:t>:</w:t>
      </w:r>
      <w:r w:rsidRPr="009B17A1">
        <w:t xml:space="preserve"> </w:t>
      </w:r>
      <w:r w:rsidR="00173F1F" w:rsidRPr="00173F1F">
        <w:t>Eight (28%) youth reported no pain for any of the stimulus applications. Six youth (21%) terminated a stimulus application early. Median pain ratings associated with terminated stimuli were 4</w:t>
      </w:r>
      <w:r w:rsidR="004E6AA3">
        <w:t>/</w:t>
      </w:r>
      <w:r w:rsidR="00173F1F" w:rsidRPr="00173F1F">
        <w:t xml:space="preserve">10 for heat and </w:t>
      </w:r>
      <w:r w:rsidR="004E6AA3">
        <w:t>7/</w:t>
      </w:r>
      <w:r w:rsidR="00173F1F" w:rsidRPr="00173F1F">
        <w:t xml:space="preserve">10 for repeated von Frey monofilament application. A portion of pain ratings were in the moderate-to-severe range (≥4) for applications of light touch (3%), heat (14%), pin (21%), pressure (24%), and repeated von Frey (24%). Self-reported pain during </w:t>
      </w:r>
      <w:r w:rsidR="004E6AA3">
        <w:t>m</w:t>
      </w:r>
      <w:r w:rsidR="00173F1F" w:rsidRPr="00173F1F">
        <w:t xml:space="preserve">QST was higher than </w:t>
      </w:r>
      <w:r w:rsidR="004E6AA3">
        <w:t>BR</w:t>
      </w:r>
      <w:r w:rsidR="00173F1F" w:rsidRPr="00173F1F">
        <w:t xml:space="preserve"> (V = 33, p &lt; .001); rank correlation was weak and non-significant (ρ = 0.23, p = 0.23). Youth able to communicate effectively with unfamiliar partners had higher odds of reporting moderate-severe pain (≥4; OR = 5.03, p = 0.09). Youth self-report, but not parent-report, of trait anxiety was moderately associated with self-reported pain (ρ = 0.33, p = 0.09). No additional participant characteristics were associated with self-reported pain or </w:t>
      </w:r>
      <w:r w:rsidR="004E6AA3">
        <w:t>BR.</w:t>
      </w:r>
    </w:p>
    <w:p w14:paraId="3A37D9AA" w14:textId="7958CE27" w:rsidR="0064135E" w:rsidRDefault="0064135E" w:rsidP="0064135E">
      <w:r w:rsidRPr="007B5928">
        <w:rPr>
          <w:b/>
          <w:bCs/>
        </w:rPr>
        <w:t>Discussion</w:t>
      </w:r>
      <w:r>
        <w:t>:</w:t>
      </w:r>
      <w:r w:rsidR="002A64F0" w:rsidRPr="002A64F0">
        <w:t xml:space="preserve"> </w:t>
      </w:r>
      <w:r w:rsidR="00173F1F" w:rsidRPr="00173F1F">
        <w:t xml:space="preserve">Youth in this sample rated pain during mQST higher than was reflected by observational </w:t>
      </w:r>
      <w:r w:rsidR="004E6AA3">
        <w:t>BR</w:t>
      </w:r>
      <w:r w:rsidR="00173F1F" w:rsidRPr="00173F1F">
        <w:t xml:space="preserve"> scores, with limited agreement between the two measures. While </w:t>
      </w:r>
      <w:r w:rsidR="004E6AA3">
        <w:t>BR</w:t>
      </w:r>
      <w:r w:rsidR="00173F1F" w:rsidRPr="00173F1F">
        <w:t xml:space="preserve"> did not vary by participant characteristics, youth with CP who had stronger communication skills and higher anxiety reported greater pain. This incongruence likely reflects the subjective and complex nature of pain, which encompasses emotional, social, and cognitive components. Observationally coded </w:t>
      </w:r>
      <w:r w:rsidR="004E6AA3">
        <w:t>BR</w:t>
      </w:r>
      <w:r w:rsidR="00173F1F" w:rsidRPr="00173F1F">
        <w:t xml:space="preserve"> may better reflect tactile or nociceptive sensitivity. These findings highlight the need for further investigation </w:t>
      </w:r>
      <w:r w:rsidR="001D5F73">
        <w:t>of m</w:t>
      </w:r>
      <w:r w:rsidR="00173F1F" w:rsidRPr="00173F1F">
        <w:t xml:space="preserve">QST </w:t>
      </w:r>
      <w:r w:rsidR="001D5F73">
        <w:t xml:space="preserve">as an </w:t>
      </w:r>
      <w:r w:rsidR="00173F1F" w:rsidRPr="00173F1F">
        <w:t>outcome measure</w:t>
      </w:r>
      <w:r w:rsidR="00173F1F">
        <w:t>.</w:t>
      </w:r>
    </w:p>
    <w:p w14:paraId="0BA6187E" w14:textId="58611F58" w:rsidR="0064135E" w:rsidRDefault="0064135E" w:rsidP="0064135E">
      <w:r w:rsidRPr="007B5928">
        <w:rPr>
          <w:b/>
          <w:bCs/>
        </w:rPr>
        <w:t>References</w:t>
      </w:r>
    </w:p>
    <w:p w14:paraId="7D429A13" w14:textId="77777777" w:rsidR="00173F1F" w:rsidRDefault="00173F1F" w:rsidP="00173F1F">
      <w:pPr>
        <w:pStyle w:val="ListParagraph"/>
        <w:numPr>
          <w:ilvl w:val="0"/>
          <w:numId w:val="4"/>
        </w:numPr>
      </w:pPr>
      <w:r>
        <w:lastRenderedPageBreak/>
        <w:t>Blankenburg, M., Junker, J., Hirschfeld, G., Michel, E., Aksu, F., Wager, J., Zernikow, B., Quantitative sensory testing profiles in children, adolescents and young adults (6–20 years) with cerebral palsy: Hints for a neuropathic genesis of pain syndromes. European Journal of Paediatric Neurology, 2018; 22(3), 470-481.</w:t>
      </w:r>
    </w:p>
    <w:p w14:paraId="0BEFFDCB" w14:textId="632E2B5E" w:rsidR="00173F1F" w:rsidRDefault="00173F1F" w:rsidP="00173F1F">
      <w:pPr>
        <w:pStyle w:val="ListParagraph"/>
        <w:numPr>
          <w:ilvl w:val="0"/>
          <w:numId w:val="4"/>
        </w:numPr>
      </w:pPr>
      <w:r>
        <w:t>Weaver, K., Griffioen, M., Klinedinst, J., Galik, E., Duarte, A., Colloca, L., Resnick, B., Dorsey, S., Renn, C. Quantitative Sensory Testing Across Chronic Pain Conditions and Use in Special Populations. Front Pain Res 2022; 28(2),779068. PMCID: PMC8915716  PMID: 35295425</w:t>
      </w:r>
    </w:p>
    <w:p w14:paraId="3D273325" w14:textId="5497499B" w:rsidR="0064135E" w:rsidRPr="00163A52" w:rsidRDefault="0064135E" w:rsidP="0064135E">
      <w:pPr>
        <w:jc w:val="center"/>
        <w:rPr>
          <w:b/>
          <w:bCs/>
        </w:rPr>
      </w:pPr>
      <w:r w:rsidRPr="00163A52">
        <w:rPr>
          <w:b/>
          <w:bCs/>
        </w:rPr>
        <w:t xml:space="preserve">Paper </w:t>
      </w:r>
      <w:r>
        <w:rPr>
          <w:b/>
          <w:bCs/>
        </w:rPr>
        <w:t>4</w:t>
      </w:r>
      <w:r w:rsidRPr="00163A52">
        <w:rPr>
          <w:b/>
          <w:bCs/>
        </w:rPr>
        <w:t xml:space="preserve"> of </w:t>
      </w:r>
      <w:r>
        <w:rPr>
          <w:b/>
          <w:bCs/>
        </w:rPr>
        <w:t>4</w:t>
      </w:r>
    </w:p>
    <w:p w14:paraId="503FF6F1" w14:textId="77777777" w:rsidR="00EE690B" w:rsidRDefault="0064135E" w:rsidP="0064135E">
      <w:pPr>
        <w:rPr>
          <w:b/>
          <w:bCs/>
        </w:rPr>
      </w:pPr>
      <w:r w:rsidRPr="002A64F0">
        <w:rPr>
          <w:b/>
          <w:bCs/>
        </w:rPr>
        <w:t>Paper Title</w:t>
      </w:r>
      <w:r>
        <w:t xml:space="preserve">: </w:t>
      </w:r>
      <w:r w:rsidR="00EE690B">
        <w:t>P</w:t>
      </w:r>
      <w:r w:rsidR="00EE690B" w:rsidRPr="00093A8D">
        <w:t xml:space="preserve">arental </w:t>
      </w:r>
      <w:r w:rsidR="00EE690B">
        <w:t>P</w:t>
      </w:r>
      <w:r w:rsidR="00EE690B" w:rsidRPr="00093A8D">
        <w:t xml:space="preserve">ain </w:t>
      </w:r>
      <w:r w:rsidR="00EE690B">
        <w:t>C</w:t>
      </w:r>
      <w:r w:rsidR="00EE690B" w:rsidRPr="00093A8D">
        <w:t xml:space="preserve">atastrophizing and </w:t>
      </w:r>
      <w:r w:rsidR="00EE690B">
        <w:t>P</w:t>
      </w:r>
      <w:r w:rsidR="00EE690B" w:rsidRPr="00093A8D">
        <w:t xml:space="preserve">ain </w:t>
      </w:r>
      <w:r w:rsidR="00EE690B">
        <w:t>E</w:t>
      </w:r>
      <w:r w:rsidR="00EE690B" w:rsidRPr="00093A8D">
        <w:t>xperience/</w:t>
      </w:r>
      <w:r w:rsidR="00EE690B">
        <w:t>E</w:t>
      </w:r>
      <w:r w:rsidR="00EE690B" w:rsidRPr="00093A8D">
        <w:t xml:space="preserve">xpression </w:t>
      </w:r>
      <w:r w:rsidR="00EE690B">
        <w:t>A</w:t>
      </w:r>
      <w:r w:rsidR="00EE690B" w:rsidRPr="00093A8D">
        <w:t xml:space="preserve">mong </w:t>
      </w:r>
      <w:r w:rsidR="00EE690B">
        <w:t>Y</w:t>
      </w:r>
      <w:r w:rsidR="00EE690B" w:rsidRPr="00093A8D">
        <w:t xml:space="preserve">oung </w:t>
      </w:r>
      <w:r w:rsidR="00EE690B">
        <w:t>C</w:t>
      </w:r>
      <w:r w:rsidR="00EE690B" w:rsidRPr="00093A8D">
        <w:t xml:space="preserve">hildren with </w:t>
      </w:r>
      <w:r w:rsidR="00EE690B">
        <w:t>D</w:t>
      </w:r>
      <w:r w:rsidR="00EE690B" w:rsidRPr="00093A8D">
        <w:t xml:space="preserve">evelopmental </w:t>
      </w:r>
      <w:r w:rsidR="00EE690B">
        <w:t>D</w:t>
      </w:r>
      <w:r w:rsidR="00EE690B" w:rsidRPr="00093A8D">
        <w:t>isabilities</w:t>
      </w:r>
      <w:r w:rsidR="00EE690B" w:rsidRPr="002A64F0">
        <w:rPr>
          <w:b/>
          <w:bCs/>
        </w:rPr>
        <w:t xml:space="preserve"> </w:t>
      </w:r>
    </w:p>
    <w:p w14:paraId="2BA8898C" w14:textId="0AD18D1B" w:rsidR="0064135E" w:rsidRDefault="0064135E" w:rsidP="0064135E">
      <w:r w:rsidRPr="002A64F0">
        <w:rPr>
          <w:b/>
          <w:bCs/>
        </w:rPr>
        <w:t>Authors</w:t>
      </w:r>
      <w:r>
        <w:t xml:space="preserve">: </w:t>
      </w:r>
      <w:r w:rsidR="009D276B" w:rsidRPr="009D276B">
        <w:t>Breanne Byiers</w:t>
      </w:r>
      <w:r w:rsidR="009D276B">
        <w:rPr>
          <w:rStyle w:val="FootnoteReference"/>
        </w:rPr>
        <w:footnoteRef/>
      </w:r>
      <w:r w:rsidR="009D276B" w:rsidRPr="009D276B">
        <w:t>, Alyssa Merber</w:t>
      </w:r>
      <w:r w:rsidR="009D276B">
        <w:rPr>
          <w:rStyle w:val="FootnoteReference"/>
        </w:rPr>
        <w:footnoteRef/>
      </w:r>
      <w:r w:rsidR="009D276B" w:rsidRPr="009D276B">
        <w:t>, Chantel Burkitt</w:t>
      </w:r>
      <w:r w:rsidR="009D276B">
        <w:rPr>
          <w:rStyle w:val="FootnoteReference"/>
        </w:rPr>
        <w:footnoteRef/>
      </w:r>
      <w:r w:rsidR="009D276B" w:rsidRPr="009D276B">
        <w:t>, Andrea Huebner</w:t>
      </w:r>
      <w:r w:rsidR="009D276B">
        <w:rPr>
          <w:rStyle w:val="FootnoteReference"/>
        </w:rPr>
        <w:footnoteReference w:id="3"/>
      </w:r>
      <w:r w:rsidR="009D276B">
        <w:t>,</w:t>
      </w:r>
      <w:r w:rsidR="009D276B" w:rsidRPr="009D276B">
        <w:t xml:space="preserve"> &amp; Frank Symons</w:t>
      </w:r>
      <w:r w:rsidR="009D276B">
        <w:rPr>
          <w:rStyle w:val="FootnoteReference"/>
        </w:rPr>
        <w:footnoteRef/>
      </w:r>
    </w:p>
    <w:p w14:paraId="7BB18E62" w14:textId="35D090DE" w:rsidR="0064135E" w:rsidRDefault="0064135E" w:rsidP="0064135E">
      <w:r w:rsidRPr="002A64F0">
        <w:rPr>
          <w:b/>
          <w:bCs/>
        </w:rPr>
        <w:t>Introduction</w:t>
      </w:r>
      <w:r>
        <w:t xml:space="preserve">: </w:t>
      </w:r>
      <w:r w:rsidR="00A71CAE" w:rsidRPr="0020633D">
        <w:t>Children with developmental disabilities (DD) experience more painful procedures and chronic pain conditions but are less likely to receive adequate pain management than their peers.</w:t>
      </w:r>
      <w:r w:rsidR="00A71CAE" w:rsidRPr="00F97619">
        <w:rPr>
          <w:vertAlign w:val="superscript"/>
        </w:rPr>
        <w:t>1</w:t>
      </w:r>
      <w:r w:rsidR="00A71CAE" w:rsidRPr="0020633D">
        <w:t xml:space="preserve"> The social communication model of pain suggests that parents play a key role in socializing children’s pain experiences and expression.</w:t>
      </w:r>
      <w:r w:rsidR="00A71CAE" w:rsidRPr="00F97619">
        <w:rPr>
          <w:vertAlign w:val="superscript"/>
        </w:rPr>
        <w:t>2</w:t>
      </w:r>
      <w:r w:rsidR="00A71CAE" w:rsidRPr="0020633D">
        <w:t xml:space="preserve"> Among children with DD, parents also play a key role as decision-makers and advocates when seeking pain treatment.</w:t>
      </w:r>
      <w:r w:rsidR="00A71CAE" w:rsidRPr="00F97619">
        <w:rPr>
          <w:vertAlign w:val="superscript"/>
        </w:rPr>
        <w:t>3</w:t>
      </w:r>
      <w:r w:rsidR="00A71CAE" w:rsidRPr="0020633D">
        <w:t xml:space="preserve"> Nevertheless, very little is known about how parents judge or respond to pain among children with DD. The current study evaluates the degree to which parental pain catastrophizing, a well-studied psychological construct associated with pain judgment and expression in other populations,</w:t>
      </w:r>
      <w:r w:rsidR="00A71CAE" w:rsidRPr="00F97619">
        <w:rPr>
          <w:vertAlign w:val="superscript"/>
        </w:rPr>
        <w:t>4</w:t>
      </w:r>
      <w:r w:rsidR="00A71CAE" w:rsidRPr="0020633D">
        <w:t xml:space="preserve"> correlates with parental report of chronic pain status and pain ratings, and directly observed behavioral reactivity during an acute pain event among young children with DD</w:t>
      </w:r>
      <w:r w:rsidR="00A71CAE">
        <w:t>.</w:t>
      </w:r>
    </w:p>
    <w:p w14:paraId="65B02D3A" w14:textId="4772A521" w:rsidR="0064135E" w:rsidRDefault="0064135E" w:rsidP="0064135E">
      <w:r w:rsidRPr="007B5928">
        <w:rPr>
          <w:b/>
          <w:bCs/>
        </w:rPr>
        <w:t>Method</w:t>
      </w:r>
      <w:r>
        <w:t xml:space="preserve">: </w:t>
      </w:r>
      <w:r w:rsidR="00A71CAE" w:rsidRPr="0020633D">
        <w:t>Participants included children with DD aged 18-83 months scheduled for a blood draw at participating clinical sites and their parents. Parents completed the Pain Catastrophizing Scale for Parents</w:t>
      </w:r>
      <w:r w:rsidR="00A71CAE" w:rsidRPr="00F97619">
        <w:rPr>
          <w:vertAlign w:val="superscript"/>
        </w:rPr>
        <w:t>5</w:t>
      </w:r>
      <w:r w:rsidR="00A71CAE" w:rsidRPr="0020633D">
        <w:t xml:space="preserve"> and a semi-structured interview regarding their child’s acute and chronic pain, including presence/absence of chronic pain, pain severity ratings (0 to 10 scale) for the worst source of chronic pain during the previous 7 days, and perceived pain severity during the venipuncture, among other measures. Behavioral reactivity was coded from video recordings of the blood draws using a standardized observational scale.</w:t>
      </w:r>
      <w:r w:rsidR="00A71CAE" w:rsidRPr="00F97619">
        <w:rPr>
          <w:vertAlign w:val="superscript"/>
        </w:rPr>
        <w:t>6</w:t>
      </w:r>
      <w:r w:rsidR="00A71CAE" w:rsidRPr="0020633D">
        <w:t xml:space="preserve"> Questionnaire data were available for 102 dyads (mean child age = 48 months, SD = 19; 64% male, 36% with reported chronic pain), of whom 60 (mean age of children: 48 months, SD = 18; 67% male, 37% with reported chronic pain) also had coded observational data. Data were analyzed using generalized linear/mixed models predicting each pain outcome with parent pain catastrophizing scores as the primary independent variable (controlling for child age, parent and child sex/gender, clinical diagnosis, gross motor and expressive language abilities, and difficulty of venous access for acute pain variables).</w:t>
      </w:r>
    </w:p>
    <w:p w14:paraId="32C3EC01" w14:textId="0A5720B7" w:rsidR="0064135E" w:rsidRDefault="0064135E" w:rsidP="0064135E">
      <w:r w:rsidRPr="007B5928">
        <w:rPr>
          <w:b/>
          <w:bCs/>
        </w:rPr>
        <w:t>Results</w:t>
      </w:r>
      <w:r>
        <w:t>:</w:t>
      </w:r>
      <w:r w:rsidRPr="009B17A1">
        <w:t xml:space="preserve"> </w:t>
      </w:r>
      <w:r>
        <w:t>S</w:t>
      </w:r>
      <w:r w:rsidR="00A71CAE" w:rsidRPr="00A71CAE">
        <w:t xml:space="preserve"> </w:t>
      </w:r>
      <w:r w:rsidR="00A71CAE" w:rsidRPr="0020633D">
        <w:t xml:space="preserve">For parent-reported pain, higher parental catastrophizing scores were associated with presence of chronic pain but not severity of chronic or acute pain. For observed behavioral reactivity scores, there was a significant interaction between catastrophizing scores and the presence of chronic pain, such that there was no association </w:t>
      </w:r>
      <w:r w:rsidR="00A71CAE" w:rsidRPr="0020633D">
        <w:lastRenderedPageBreak/>
        <w:t>between parental catastrophizing and behavioral reactivity among children with chronic pain, but higher catastrophizing was associated with lower overall reactivity among children without chronic pain.</w:t>
      </w:r>
    </w:p>
    <w:p w14:paraId="6E713001" w14:textId="455902C2" w:rsidR="0064135E" w:rsidRDefault="0064135E" w:rsidP="0064135E">
      <w:r w:rsidRPr="007B5928">
        <w:rPr>
          <w:b/>
          <w:bCs/>
        </w:rPr>
        <w:t>Discussion</w:t>
      </w:r>
      <w:r>
        <w:t xml:space="preserve">: </w:t>
      </w:r>
      <w:r w:rsidR="00A71CAE" w:rsidRPr="0020633D">
        <w:t>The results are somewhat consistent with the existing literature in that they suggest that parental pain catastrophizing may be an important psychological factor in understanding pain judgments and pain socialization among parent-child dyads with and without DD, although the specific patterns of association may vary according to chronic pain status and acute vs. chronic pain. The results specific to behavioral reactivity during acute pain suggest that the presence of chronic pain may affect pain expression in young children with DD, potentially through parental recognition of and response to pain signs, but additional work in larger samples and with different measures/contexts is needed to replicate the results.</w:t>
      </w:r>
    </w:p>
    <w:p w14:paraId="074B8D0E" w14:textId="29B2AD51" w:rsidR="0064135E" w:rsidRDefault="0064135E" w:rsidP="0064135E">
      <w:r w:rsidRPr="007B5928">
        <w:rPr>
          <w:b/>
          <w:bCs/>
        </w:rPr>
        <w:t>References</w:t>
      </w:r>
      <w:r>
        <w:t xml:space="preserve"> </w:t>
      </w:r>
    </w:p>
    <w:p w14:paraId="0F13B374" w14:textId="7E61B782" w:rsidR="00A71CAE" w:rsidRDefault="00A71CAE" w:rsidP="00A71CAE">
      <w:pPr>
        <w:pStyle w:val="ListParagraph"/>
        <w:numPr>
          <w:ilvl w:val="0"/>
          <w:numId w:val="3"/>
        </w:numPr>
        <w:spacing w:after="0"/>
      </w:pPr>
      <w:r>
        <w:t>Breau, L., Lotan, M., &amp; Koh, J. (2011). Pain in individuals with intellectual and developmental disabilities. In Neurodevelopmental disabilities: Clinical care for children and young adults (pp. 255-276). Dordrecht: Springer Netherlands.</w:t>
      </w:r>
    </w:p>
    <w:p w14:paraId="01D81AE6" w14:textId="5F422F72" w:rsidR="00A71CAE" w:rsidRDefault="00A71CAE" w:rsidP="00A71CAE">
      <w:pPr>
        <w:pStyle w:val="ListParagraph"/>
        <w:numPr>
          <w:ilvl w:val="0"/>
          <w:numId w:val="3"/>
        </w:numPr>
        <w:spacing w:after="0"/>
      </w:pPr>
      <w:r>
        <w:t>Craig, K. (2018). Toward the social communication model of pain. In Social and Interpersonal Dynamics in Pain: We Don't Suffer Alone (pp. 23-41). Cham: Springer International Publishing.</w:t>
      </w:r>
    </w:p>
    <w:p w14:paraId="5A8C8E0B" w14:textId="63661B9C" w:rsidR="00A71CAE" w:rsidRDefault="00A71CAE" w:rsidP="00A71CAE">
      <w:pPr>
        <w:pStyle w:val="ListParagraph"/>
        <w:numPr>
          <w:ilvl w:val="0"/>
          <w:numId w:val="3"/>
        </w:numPr>
        <w:spacing w:after="0"/>
      </w:pPr>
      <w:r>
        <w:t xml:space="preserve">Baldridge, K., &amp; Andrasik, F. (2010). Pain assessment in people with intellectual or developmental disabilities. </w:t>
      </w:r>
      <w:r w:rsidRPr="00F83B60">
        <w:rPr>
          <w:i/>
          <w:iCs/>
        </w:rPr>
        <w:t>AJN The American Journal of Nursing, 110</w:t>
      </w:r>
      <w:r>
        <w:t>(12), 28-35.</w:t>
      </w:r>
    </w:p>
    <w:p w14:paraId="5D322772" w14:textId="7C3968FA" w:rsidR="00A71CAE" w:rsidRDefault="00A71CAE" w:rsidP="00A71CAE">
      <w:pPr>
        <w:pStyle w:val="ListParagraph"/>
        <w:numPr>
          <w:ilvl w:val="0"/>
          <w:numId w:val="3"/>
        </w:numPr>
        <w:spacing w:after="0"/>
      </w:pPr>
      <w:r>
        <w:t xml:space="preserve">Donnelly, T., Palermo, T., &amp; Newton-John, T. (2020). Parent cognitive, behavioural, and affective factors and their relation to child pain and functioning in pediatric chronic pain: A systematic review and meta-analysis. </w:t>
      </w:r>
      <w:r w:rsidRPr="00F83B60">
        <w:rPr>
          <w:i/>
          <w:iCs/>
        </w:rPr>
        <w:t>PAIN®, 161</w:t>
      </w:r>
      <w:r>
        <w:t>(7), 1401-1419.</w:t>
      </w:r>
    </w:p>
    <w:p w14:paraId="68201D06" w14:textId="77777777" w:rsidR="00A71CAE" w:rsidRDefault="00A71CAE" w:rsidP="00A71CAE">
      <w:pPr>
        <w:pStyle w:val="ListParagraph"/>
        <w:numPr>
          <w:ilvl w:val="0"/>
          <w:numId w:val="3"/>
        </w:numPr>
        <w:spacing w:after="0"/>
      </w:pPr>
      <w:r>
        <w:t xml:space="preserve">Goubert, L., Eccleston, C., Vervoort, T., Jordan, A., &amp; Crombez, G. (2006). Parental catastrophizing about their child’s pain. The parent version of the Pain Catastrophizing Scale (PCS-P): a preliminary validation. </w:t>
      </w:r>
      <w:r w:rsidRPr="00F83B60">
        <w:rPr>
          <w:i/>
          <w:iCs/>
        </w:rPr>
        <w:t>PAIN®, 123</w:t>
      </w:r>
      <w:r>
        <w:t>(3), 254-263.</w:t>
      </w:r>
    </w:p>
    <w:p w14:paraId="43F37D1A" w14:textId="18A76314" w:rsidR="0064135E" w:rsidRDefault="00A71CAE" w:rsidP="009B17A1">
      <w:pPr>
        <w:pStyle w:val="ListParagraph"/>
        <w:numPr>
          <w:ilvl w:val="0"/>
          <w:numId w:val="3"/>
        </w:numPr>
        <w:spacing w:after="0"/>
      </w:pPr>
      <w:r>
        <w:t xml:space="preserve">Voepel-Lewis, T., Merkel, S., Tait, A., Trzcinka, A., &amp; Malviya, S. (2002). The reliability and validity of the Face, Legs, Activity, Cry, Consolability observational tool as a measure of pain in children with cognitive impairment. </w:t>
      </w:r>
      <w:r w:rsidRPr="00F83B60">
        <w:rPr>
          <w:i/>
          <w:iCs/>
        </w:rPr>
        <w:t>Anesthesia &amp; Analgesia, 95</w:t>
      </w:r>
      <w:r>
        <w:t>(5), 1224-1229.</w:t>
      </w:r>
    </w:p>
    <w:sectPr w:rsidR="0064135E" w:rsidSect="00F01EB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C6C91" w14:textId="77777777" w:rsidR="00A27A11" w:rsidRDefault="00A27A11" w:rsidP="00F01EB9">
      <w:pPr>
        <w:spacing w:after="0" w:line="240" w:lineRule="auto"/>
      </w:pPr>
      <w:r>
        <w:separator/>
      </w:r>
    </w:p>
  </w:endnote>
  <w:endnote w:type="continuationSeparator" w:id="0">
    <w:p w14:paraId="744584E5" w14:textId="77777777" w:rsidR="00A27A11" w:rsidRDefault="00A27A11" w:rsidP="00F01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efa">
    <w:altName w:val="Nyala"/>
    <w:charset w:val="00"/>
    <w:family w:val="auto"/>
    <w:pitch w:val="variable"/>
    <w:sig w:usb0="800000AF" w:usb1="4000204B" w:usb2="000008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7DB8" w14:textId="77777777" w:rsidR="00EA77BA" w:rsidRDefault="00EA7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3C01" w14:textId="77777777" w:rsidR="00F01EB9" w:rsidRPr="00F361B2" w:rsidRDefault="00000000" w:rsidP="00F01EB9">
    <w:pPr>
      <w:pStyle w:val="Footer"/>
      <w:jc w:val="center"/>
      <w:rPr>
        <w:b/>
        <w:szCs w:val="20"/>
      </w:rPr>
    </w:pPr>
    <w:sdt>
      <w:sdtPr>
        <w:rPr>
          <w:b/>
        </w:rPr>
        <w:id w:val="-1669238322"/>
        <w:docPartObj>
          <w:docPartGallery w:val="Page Numbers (Top of Page)"/>
          <w:docPartUnique/>
        </w:docPartObj>
      </w:sdtPr>
      <w:sdtContent>
        <w:r w:rsidR="00F01EB9" w:rsidRPr="00F361B2">
          <w:rPr>
            <w:b/>
            <w:szCs w:val="20"/>
          </w:rPr>
          <w:t xml:space="preserve">Page </w:t>
        </w:r>
        <w:r w:rsidR="00F01EB9" w:rsidRPr="00F361B2">
          <w:rPr>
            <w:b/>
            <w:bCs/>
          </w:rPr>
          <w:fldChar w:fldCharType="begin"/>
        </w:r>
        <w:r w:rsidR="00F01EB9" w:rsidRPr="00F361B2">
          <w:rPr>
            <w:b/>
            <w:bCs/>
          </w:rPr>
          <w:instrText xml:space="preserve"> PAGE </w:instrText>
        </w:r>
        <w:r w:rsidR="00F01EB9" w:rsidRPr="00F361B2">
          <w:rPr>
            <w:b/>
            <w:bCs/>
          </w:rPr>
          <w:fldChar w:fldCharType="separate"/>
        </w:r>
        <w:r w:rsidR="00F01EB9">
          <w:rPr>
            <w:b/>
            <w:bCs/>
          </w:rPr>
          <w:t>1</w:t>
        </w:r>
        <w:r w:rsidR="00F01EB9" w:rsidRPr="00F361B2">
          <w:rPr>
            <w:b/>
            <w:bCs/>
          </w:rPr>
          <w:fldChar w:fldCharType="end"/>
        </w:r>
        <w:r w:rsidR="00F01EB9" w:rsidRPr="00F361B2">
          <w:rPr>
            <w:b/>
            <w:szCs w:val="20"/>
          </w:rPr>
          <w:t xml:space="preserve"> of </w:t>
        </w:r>
        <w:r w:rsidR="00F01EB9" w:rsidRPr="00F361B2">
          <w:rPr>
            <w:b/>
            <w:bCs/>
          </w:rPr>
          <w:fldChar w:fldCharType="begin"/>
        </w:r>
        <w:r w:rsidR="00F01EB9" w:rsidRPr="00F361B2">
          <w:rPr>
            <w:b/>
            <w:bCs/>
          </w:rPr>
          <w:instrText xml:space="preserve"> NUMPAGES  </w:instrText>
        </w:r>
        <w:r w:rsidR="00F01EB9" w:rsidRPr="00F361B2">
          <w:rPr>
            <w:b/>
            <w:bCs/>
          </w:rPr>
          <w:fldChar w:fldCharType="separate"/>
        </w:r>
        <w:r w:rsidR="00F01EB9">
          <w:rPr>
            <w:b/>
            <w:bCs/>
          </w:rPr>
          <w:t>2</w:t>
        </w:r>
        <w:r w:rsidR="00F01EB9" w:rsidRPr="00F361B2">
          <w:rPr>
            <w:b/>
            <w:bC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FC42" w14:textId="77777777" w:rsidR="00EA77BA" w:rsidRDefault="00EA7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87F5D" w14:textId="77777777" w:rsidR="00A27A11" w:rsidRDefault="00A27A11" w:rsidP="00F01EB9">
      <w:pPr>
        <w:spacing w:after="0" w:line="240" w:lineRule="auto"/>
      </w:pPr>
      <w:r>
        <w:separator/>
      </w:r>
    </w:p>
  </w:footnote>
  <w:footnote w:type="continuationSeparator" w:id="0">
    <w:p w14:paraId="64417C6A" w14:textId="77777777" w:rsidR="00A27A11" w:rsidRDefault="00A27A11" w:rsidP="00F01EB9">
      <w:pPr>
        <w:spacing w:after="0" w:line="240" w:lineRule="auto"/>
      </w:pPr>
      <w:r>
        <w:continuationSeparator/>
      </w:r>
    </w:p>
  </w:footnote>
  <w:footnote w:id="1">
    <w:p w14:paraId="26A91D14" w14:textId="25BEA58A" w:rsidR="0064135E" w:rsidRDefault="0064135E">
      <w:pPr>
        <w:pStyle w:val="FootnoteText"/>
      </w:pPr>
      <w:r>
        <w:rPr>
          <w:rStyle w:val="FootnoteReference"/>
        </w:rPr>
        <w:footnoteRef/>
      </w:r>
      <w:r>
        <w:t xml:space="preserve"> University of </w:t>
      </w:r>
      <w:r w:rsidR="006A3307">
        <w:t>Minnesota</w:t>
      </w:r>
    </w:p>
  </w:footnote>
  <w:footnote w:id="2">
    <w:p w14:paraId="6DA2DD5C" w14:textId="1B30AE3B" w:rsidR="006A3307" w:rsidRDefault="002A64F0">
      <w:pPr>
        <w:pStyle w:val="FootnoteText"/>
      </w:pPr>
      <w:r w:rsidRPr="00F97619">
        <w:rPr>
          <w:rStyle w:val="FootnoteReference"/>
        </w:rPr>
        <w:footnoteRef/>
      </w:r>
      <w:r w:rsidR="00F97619" w:rsidRPr="00F97619">
        <w:t xml:space="preserve"> G</w:t>
      </w:r>
      <w:r w:rsidR="00F97619">
        <w:t>illette Children’s</w:t>
      </w:r>
    </w:p>
  </w:footnote>
  <w:footnote w:id="3">
    <w:p w14:paraId="74E3227C" w14:textId="6642699E" w:rsidR="009D276B" w:rsidRDefault="009D276B" w:rsidP="009D276B">
      <w:pPr>
        <w:pStyle w:val="FootnoteText"/>
      </w:pPr>
      <w:r>
        <w:rPr>
          <w:rStyle w:val="FootnoteReference"/>
        </w:rPr>
        <w:footnoteRef/>
      </w:r>
      <w:r>
        <w:t xml:space="preserve"> Mayo Clinic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BD73" w14:textId="77777777" w:rsidR="00EA77BA" w:rsidRDefault="00EA7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E1F" w14:textId="2B4F3B86" w:rsidR="00F01EB9" w:rsidRDefault="00EA77BA" w:rsidP="00F01EB9">
    <w:pPr>
      <w:pStyle w:val="Header"/>
    </w:pPr>
    <w:r>
      <w:rPr>
        <w:noProof/>
      </w:rPr>
      <mc:AlternateContent>
        <mc:Choice Requires="wps">
          <w:drawing>
            <wp:anchor distT="0" distB="0" distL="114300" distR="114300" simplePos="0" relativeHeight="251659264" behindDoc="0" locked="0" layoutInCell="1" allowOverlap="1" wp14:anchorId="19AB5428" wp14:editId="488B6F6A">
              <wp:simplePos x="0" y="0"/>
              <wp:positionH relativeFrom="column">
                <wp:posOffset>-8799</wp:posOffset>
              </wp:positionH>
              <wp:positionV relativeFrom="paragraph">
                <wp:posOffset>-187960</wp:posOffset>
              </wp:positionV>
              <wp:extent cx="5371690" cy="349448"/>
              <wp:effectExtent l="12700" t="12700" r="13335" b="19050"/>
              <wp:wrapNone/>
              <wp:docPr id="226"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1690" cy="349448"/>
                      </a:xfrm>
                      <a:prstGeom prst="rect">
                        <a:avLst/>
                      </a:prstGeom>
                      <a:noFill/>
                      <a:ln w="25400">
                        <a:solidFill>
                          <a:srgbClr val="444C6A"/>
                        </a:solidFill>
                        <a:miter lim="800000"/>
                        <a:headEnd/>
                        <a:tailEnd/>
                      </a:ln>
                    </wps:spPr>
                    <wps:txbx>
                      <w:txbxContent>
                        <w:sdt>
                          <w:sdtPr>
                            <w:rPr>
                              <w:rFonts w:ascii="Kefa" w:hAnsi="Kefa"/>
                              <w:b/>
                              <w:color w:val="444C6A"/>
                              <w:sz w:val="32"/>
                              <w:szCs w:val="32"/>
                            </w:rPr>
                            <w:alias w:val="Title"/>
                            <w:id w:val="-1038195335"/>
                            <w:dataBinding w:prefixMappings="xmlns:ns0='http://schemas.openxmlformats.org/package/2006/metadata/core-properties' xmlns:ns1='http://purl.org/dc/elements/1.1/'" w:xpath="/ns0:coreProperties[1]/ns1:title[1]" w:storeItemID="{6C3C8BC8-F283-45AE-878A-BAB7291924A1}"/>
                            <w:text/>
                          </w:sdtPr>
                          <w:sdtContent>
                            <w:p w14:paraId="7F79B6D2" w14:textId="748C1E53" w:rsidR="00F01EB9" w:rsidRPr="00163A52" w:rsidRDefault="00EA77BA" w:rsidP="00F01EB9">
                              <w:pPr>
                                <w:pStyle w:val="Header"/>
                                <w:rPr>
                                  <w:rFonts w:ascii="Kefa" w:hAnsi="Kefa"/>
                                  <w:b/>
                                  <w:color w:val="444C6A"/>
                                  <w:sz w:val="32"/>
                                  <w:szCs w:val="32"/>
                                </w:rPr>
                              </w:pPr>
                              <w:r>
                                <w:rPr>
                                  <w:rFonts w:ascii="Kefa" w:hAnsi="Kefa"/>
                                  <w:b/>
                                  <w:color w:val="444C6A"/>
                                  <w:sz w:val="32"/>
                                  <w:szCs w:val="32"/>
                                </w:rPr>
                                <w:t>202</w:t>
                              </w:r>
                              <w:r w:rsidR="00EB3E82">
                                <w:rPr>
                                  <w:rFonts w:ascii="Kefa" w:hAnsi="Kefa"/>
                                  <w:b/>
                                  <w:color w:val="444C6A"/>
                                  <w:sz w:val="32"/>
                                  <w:szCs w:val="32"/>
                                </w:rPr>
                                <w:t>6</w:t>
                              </w:r>
                              <w:r>
                                <w:rPr>
                                  <w:rFonts w:ascii="Kefa" w:hAnsi="Kefa"/>
                                  <w:b/>
                                  <w:color w:val="444C6A"/>
                                  <w:sz w:val="32"/>
                                  <w:szCs w:val="32"/>
                                </w:rPr>
                                <w:t xml:space="preserve"> Gatlinburg Conference Symposium Submission</w:t>
                              </w:r>
                            </w:p>
                          </w:sdtContent>
                        </w:sdt>
                      </w:txbxContent>
                    </wps:txbx>
                    <wps:bodyPr rot="0" vert="horz" wrap="square" lIns="91440" tIns="45720" rIns="91440" bIns="45720" anchor="ctr" anchorCtr="0" upright="1">
                      <a:noAutofit/>
                    </wps:bodyPr>
                  </wps:wsp>
                </a:graphicData>
              </a:graphic>
            </wp:anchor>
          </w:drawing>
        </mc:Choice>
        <mc:Fallback>
          <w:pict>
            <v:rect w14:anchorId="19AB5428" id="Rectangle 197" o:spid="_x0000_s1026" style="position:absolute;margin-left:-.7pt;margin-top:-14.8pt;width:422.95pt;height: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06/EgIAAPsDAAAOAAAAZHJzL2Uyb0RvYy54bWysU8Fu2zAMvQ/YPwi6L7ZTJ02MOEWQrsOA&#10;rhvQ7QMUWY6FyaJGKXGyrx+lpGm23Yb5IIgm+Ug+Pi3uDr1he4Veg615Mco5U1ZCo+225t++Pryb&#10;ceaDsI0wYFXNj8rzu+XbN4vBVWoMHZhGISMQ66vB1bwLwVVZ5mWneuFH4JQlZwvYi0AmbrMGxUDo&#10;vcnGeT7NBsDGIUjlPf29Pzn5MuG3rZLhc9t6FZipOfUW0onp3MQzWy5EtUXhOi3PbYh/6KIX2lLR&#10;C9S9CILtUP8F1WuJ4KENIwl9Bm2rpUoz0DRF/sc0z51wKs1C5Hh3ocn/P1j5tH92XzC27t0jyO+e&#10;WVh3wm7VChGGTomGyhWRqGxwvrokRMNTKtsMn6Ch1YpdgMTBocU+AtJ07JCoPl6oVofAJP2c3NwW&#10;0zltRJLvppyX5SyVENVLtkMfPijoWbzUHGmVCV3sH32I3YjqJSQWs/CgjUnrNJYNNR9PyjxPGR6M&#10;bqI3TYnbzdog2wtSRFmW6+nqXPi3sF4H0qXRfc1nefxOSol0vLdNKhOENqc7tWLsmZ9ISVSfr8Jh&#10;c6DAeN1AcySmEE76o/dClw7wJ2cDaa/m/sdOoOLMfLTE9rwoyyjWZJST2zEZeO3ZXHuElQRVcxmQ&#10;s5OxDieJ7xzqbUe1ikSEhRXtqNWJvte+zp2TwhKr59cQJXxtp6jXN7v8BQAA//8DAFBLAwQUAAYA&#10;CAAAACEAsbB1O+IAAAAJAQAADwAAAGRycy9kb3ducmV2LnhtbEyPwUrDQBCG74LvsIzgrd00bmqN&#10;2RQRpSh4MC0Vb9tkTILZ2ZDdNtGndzzpaRjm45/vz9aT7cQJB9860rCYRyCQSle1VGvYbR9nKxA+&#10;GKpM5wg1fKGHdX5+lpm0ciO94qkIteAQ8qnR0ITQp1L6skFr/Nz1SHz7cIM1gdehltVgRg63nYyj&#10;aCmtaYk/NKbH+wbLz+JoNajyvb/G7802eX552NT74u0pGa+0vryY7m5BBJzCHwy/+qwOOTsd3JEq&#10;LzoNs4Vikmd8swTBwEqpBMRBQ5wokHkm/zfIfwAAAP//AwBQSwECLQAUAAYACAAAACEAtoM4kv4A&#10;AADhAQAAEwAAAAAAAAAAAAAAAAAAAAAAW0NvbnRlbnRfVHlwZXNdLnhtbFBLAQItABQABgAIAAAA&#10;IQA4/SH/1gAAAJQBAAALAAAAAAAAAAAAAAAAAC8BAABfcmVscy8ucmVsc1BLAQItABQABgAIAAAA&#10;IQBE306/EgIAAPsDAAAOAAAAAAAAAAAAAAAAAC4CAABkcnMvZTJvRG9jLnhtbFBLAQItABQABgAI&#10;AAAAIQCxsHU74gAAAAkBAAAPAAAAAAAAAAAAAAAAAGwEAABkcnMvZG93bnJldi54bWxQSwUGAAAA&#10;AAQABADzAAAAewUAAAAA&#10;" filled="f" strokecolor="#444c6a" strokeweight="2pt">
              <v:textbox>
                <w:txbxContent>
                  <w:sdt>
                    <w:sdtPr>
                      <w:rPr>
                        <w:rFonts w:ascii="Kefa" w:hAnsi="Kefa"/>
                        <w:b/>
                        <w:color w:val="444C6A"/>
                        <w:sz w:val="32"/>
                        <w:szCs w:val="32"/>
                      </w:rPr>
                      <w:alias w:val="Title"/>
                      <w:id w:val="-1038195335"/>
                      <w:dataBinding w:prefixMappings="xmlns:ns0='http://schemas.openxmlformats.org/package/2006/metadata/core-properties' xmlns:ns1='http://purl.org/dc/elements/1.1/'" w:xpath="/ns0:coreProperties[1]/ns1:title[1]" w:storeItemID="{6C3C8BC8-F283-45AE-878A-BAB7291924A1}"/>
                      <w:text/>
                    </w:sdtPr>
                    <w:sdtContent>
                      <w:p w14:paraId="7F79B6D2" w14:textId="748C1E53" w:rsidR="00F01EB9" w:rsidRPr="00163A52" w:rsidRDefault="00EA77BA" w:rsidP="00F01EB9">
                        <w:pPr>
                          <w:pStyle w:val="Header"/>
                          <w:rPr>
                            <w:rFonts w:ascii="Kefa" w:hAnsi="Kefa"/>
                            <w:b/>
                            <w:color w:val="444C6A"/>
                            <w:sz w:val="32"/>
                            <w:szCs w:val="32"/>
                          </w:rPr>
                        </w:pPr>
                        <w:r>
                          <w:rPr>
                            <w:rFonts w:ascii="Kefa" w:hAnsi="Kefa"/>
                            <w:b/>
                            <w:color w:val="444C6A"/>
                            <w:sz w:val="32"/>
                            <w:szCs w:val="32"/>
                          </w:rPr>
                          <w:t>202</w:t>
                        </w:r>
                        <w:r w:rsidR="00EB3E82">
                          <w:rPr>
                            <w:rFonts w:ascii="Kefa" w:hAnsi="Kefa"/>
                            <w:b/>
                            <w:color w:val="444C6A"/>
                            <w:sz w:val="32"/>
                            <w:szCs w:val="32"/>
                          </w:rPr>
                          <w:t>6</w:t>
                        </w:r>
                        <w:r>
                          <w:rPr>
                            <w:rFonts w:ascii="Kefa" w:hAnsi="Kefa"/>
                            <w:b/>
                            <w:color w:val="444C6A"/>
                            <w:sz w:val="32"/>
                            <w:szCs w:val="32"/>
                          </w:rPr>
                          <w:t xml:space="preserve"> Gatlinburg Conference Symposium Submission</w:t>
                        </w:r>
                      </w:p>
                    </w:sdtContent>
                  </w:sdt>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2BE1" w14:textId="77777777" w:rsidR="00EA77BA" w:rsidRDefault="00EA7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95A43"/>
    <w:multiLevelType w:val="hybridMultilevel"/>
    <w:tmpl w:val="2B9078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58B1E95"/>
    <w:multiLevelType w:val="hybridMultilevel"/>
    <w:tmpl w:val="4CAA7D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F620726"/>
    <w:multiLevelType w:val="hybridMultilevel"/>
    <w:tmpl w:val="BA0E5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59856F2"/>
    <w:multiLevelType w:val="hybridMultilevel"/>
    <w:tmpl w:val="739C89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71827809">
    <w:abstractNumId w:val="2"/>
  </w:num>
  <w:num w:numId="2" w16cid:durableId="170223593">
    <w:abstractNumId w:val="1"/>
  </w:num>
  <w:num w:numId="3" w16cid:durableId="279725992">
    <w:abstractNumId w:val="0"/>
  </w:num>
  <w:num w:numId="4" w16cid:durableId="772868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627"/>
    <w:rsid w:val="00115D14"/>
    <w:rsid w:val="00163A52"/>
    <w:rsid w:val="00166597"/>
    <w:rsid w:val="00173F1F"/>
    <w:rsid w:val="00192397"/>
    <w:rsid w:val="001C6F6A"/>
    <w:rsid w:val="001D5F73"/>
    <w:rsid w:val="00245B58"/>
    <w:rsid w:val="002755F9"/>
    <w:rsid w:val="002A64F0"/>
    <w:rsid w:val="002C0D01"/>
    <w:rsid w:val="002E5D92"/>
    <w:rsid w:val="002E6792"/>
    <w:rsid w:val="00327E03"/>
    <w:rsid w:val="00373627"/>
    <w:rsid w:val="003E4DD9"/>
    <w:rsid w:val="00474E49"/>
    <w:rsid w:val="004C0D57"/>
    <w:rsid w:val="004E6AA3"/>
    <w:rsid w:val="00551EE8"/>
    <w:rsid w:val="0056202A"/>
    <w:rsid w:val="005A2F24"/>
    <w:rsid w:val="00606264"/>
    <w:rsid w:val="006250E3"/>
    <w:rsid w:val="0064135E"/>
    <w:rsid w:val="0064369F"/>
    <w:rsid w:val="006A3307"/>
    <w:rsid w:val="006B3834"/>
    <w:rsid w:val="00725716"/>
    <w:rsid w:val="00732D0D"/>
    <w:rsid w:val="007B5928"/>
    <w:rsid w:val="00811620"/>
    <w:rsid w:val="00851000"/>
    <w:rsid w:val="00920E44"/>
    <w:rsid w:val="009B17A1"/>
    <w:rsid w:val="009D276B"/>
    <w:rsid w:val="009D40B5"/>
    <w:rsid w:val="009E30F9"/>
    <w:rsid w:val="00A25EDD"/>
    <w:rsid w:val="00A27A11"/>
    <w:rsid w:val="00A71CAE"/>
    <w:rsid w:val="00AA1DD8"/>
    <w:rsid w:val="00B24165"/>
    <w:rsid w:val="00B262EC"/>
    <w:rsid w:val="00B46100"/>
    <w:rsid w:val="00B55418"/>
    <w:rsid w:val="00B62C7E"/>
    <w:rsid w:val="00B8741D"/>
    <w:rsid w:val="00B962B8"/>
    <w:rsid w:val="00C054C4"/>
    <w:rsid w:val="00C24A5F"/>
    <w:rsid w:val="00C54274"/>
    <w:rsid w:val="00CE0401"/>
    <w:rsid w:val="00DF7502"/>
    <w:rsid w:val="00E16715"/>
    <w:rsid w:val="00E168A5"/>
    <w:rsid w:val="00E33721"/>
    <w:rsid w:val="00E63A32"/>
    <w:rsid w:val="00EA77BA"/>
    <w:rsid w:val="00EB3E82"/>
    <w:rsid w:val="00EC59BF"/>
    <w:rsid w:val="00EE3120"/>
    <w:rsid w:val="00EE52A7"/>
    <w:rsid w:val="00EE690B"/>
    <w:rsid w:val="00F01EB9"/>
    <w:rsid w:val="00F915DF"/>
    <w:rsid w:val="00F96DF3"/>
    <w:rsid w:val="00F97619"/>
    <w:rsid w:val="00FA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12A58"/>
  <w15:chartTrackingRefBased/>
  <w15:docId w15:val="{512F01A4-99F6-4E9E-8CEE-69E1BE0D4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7A1"/>
    <w:pPr>
      <w:spacing w:after="240" w:line="36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EB9"/>
    <w:pPr>
      <w:tabs>
        <w:tab w:val="center" w:pos="4680"/>
        <w:tab w:val="right" w:pos="9360"/>
      </w:tabs>
      <w:spacing w:line="240" w:lineRule="auto"/>
    </w:pPr>
  </w:style>
  <w:style w:type="character" w:customStyle="1" w:styleId="HeaderChar">
    <w:name w:val="Header Char"/>
    <w:basedOn w:val="DefaultParagraphFont"/>
    <w:link w:val="Header"/>
    <w:uiPriority w:val="99"/>
    <w:rsid w:val="00F01EB9"/>
    <w:rPr>
      <w:rFonts w:ascii="Arial" w:hAnsi="Arial"/>
      <w:sz w:val="20"/>
    </w:rPr>
  </w:style>
  <w:style w:type="paragraph" w:styleId="Footer">
    <w:name w:val="footer"/>
    <w:basedOn w:val="Normal"/>
    <w:link w:val="FooterChar"/>
    <w:uiPriority w:val="99"/>
    <w:unhideWhenUsed/>
    <w:rsid w:val="00F01EB9"/>
    <w:pPr>
      <w:tabs>
        <w:tab w:val="center" w:pos="4680"/>
        <w:tab w:val="right" w:pos="9360"/>
      </w:tabs>
      <w:spacing w:line="240" w:lineRule="auto"/>
    </w:pPr>
  </w:style>
  <w:style w:type="character" w:customStyle="1" w:styleId="FooterChar">
    <w:name w:val="Footer Char"/>
    <w:basedOn w:val="DefaultParagraphFont"/>
    <w:link w:val="Footer"/>
    <w:uiPriority w:val="99"/>
    <w:rsid w:val="00F01EB9"/>
    <w:rPr>
      <w:rFonts w:ascii="Arial" w:hAnsi="Arial"/>
      <w:sz w:val="20"/>
    </w:rPr>
  </w:style>
  <w:style w:type="paragraph" w:styleId="EndnoteText">
    <w:name w:val="endnote text"/>
    <w:basedOn w:val="Normal"/>
    <w:link w:val="EndnoteTextChar"/>
    <w:uiPriority w:val="99"/>
    <w:semiHidden/>
    <w:unhideWhenUsed/>
    <w:rsid w:val="009B17A1"/>
    <w:pPr>
      <w:spacing w:after="0" w:line="240" w:lineRule="auto"/>
    </w:pPr>
    <w:rPr>
      <w:szCs w:val="20"/>
    </w:rPr>
  </w:style>
  <w:style w:type="character" w:customStyle="1" w:styleId="EndnoteTextChar">
    <w:name w:val="Endnote Text Char"/>
    <w:basedOn w:val="DefaultParagraphFont"/>
    <w:link w:val="EndnoteText"/>
    <w:uiPriority w:val="99"/>
    <w:semiHidden/>
    <w:rsid w:val="009B17A1"/>
    <w:rPr>
      <w:rFonts w:ascii="Arial" w:hAnsi="Arial"/>
      <w:sz w:val="20"/>
      <w:szCs w:val="20"/>
    </w:rPr>
  </w:style>
  <w:style w:type="character" w:styleId="EndnoteReference">
    <w:name w:val="endnote reference"/>
    <w:basedOn w:val="DefaultParagraphFont"/>
    <w:uiPriority w:val="99"/>
    <w:semiHidden/>
    <w:unhideWhenUsed/>
    <w:rsid w:val="009B17A1"/>
    <w:rPr>
      <w:vertAlign w:val="superscript"/>
    </w:rPr>
  </w:style>
  <w:style w:type="paragraph" w:styleId="FootnoteText">
    <w:name w:val="footnote text"/>
    <w:basedOn w:val="Normal"/>
    <w:link w:val="FootnoteTextChar"/>
    <w:uiPriority w:val="99"/>
    <w:semiHidden/>
    <w:unhideWhenUsed/>
    <w:rsid w:val="0064135E"/>
    <w:pPr>
      <w:spacing w:after="0" w:line="240" w:lineRule="auto"/>
    </w:pPr>
    <w:rPr>
      <w:szCs w:val="20"/>
    </w:rPr>
  </w:style>
  <w:style w:type="character" w:customStyle="1" w:styleId="FootnoteTextChar">
    <w:name w:val="Footnote Text Char"/>
    <w:basedOn w:val="DefaultParagraphFont"/>
    <w:link w:val="FootnoteText"/>
    <w:uiPriority w:val="99"/>
    <w:semiHidden/>
    <w:rsid w:val="0064135E"/>
    <w:rPr>
      <w:rFonts w:ascii="Arial" w:hAnsi="Arial"/>
      <w:sz w:val="20"/>
      <w:szCs w:val="20"/>
    </w:rPr>
  </w:style>
  <w:style w:type="character" w:styleId="FootnoteReference">
    <w:name w:val="footnote reference"/>
    <w:basedOn w:val="DefaultParagraphFont"/>
    <w:uiPriority w:val="99"/>
    <w:semiHidden/>
    <w:unhideWhenUsed/>
    <w:rsid w:val="0064135E"/>
    <w:rPr>
      <w:vertAlign w:val="superscript"/>
    </w:rPr>
  </w:style>
  <w:style w:type="paragraph" w:styleId="ListParagraph">
    <w:name w:val="List Paragraph"/>
    <w:basedOn w:val="Normal"/>
    <w:uiPriority w:val="34"/>
    <w:qFormat/>
    <w:rsid w:val="006A3307"/>
    <w:pPr>
      <w:ind w:left="720"/>
      <w:contextualSpacing/>
    </w:pPr>
  </w:style>
  <w:style w:type="paragraph" w:styleId="Revision">
    <w:name w:val="Revision"/>
    <w:hidden/>
    <w:uiPriority w:val="99"/>
    <w:semiHidden/>
    <w:rsid w:val="00811620"/>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811620"/>
    <w:rPr>
      <w:sz w:val="16"/>
      <w:szCs w:val="16"/>
    </w:rPr>
  </w:style>
  <w:style w:type="paragraph" w:styleId="CommentText">
    <w:name w:val="annotation text"/>
    <w:basedOn w:val="Normal"/>
    <w:link w:val="CommentTextChar"/>
    <w:uiPriority w:val="99"/>
    <w:unhideWhenUsed/>
    <w:rsid w:val="00811620"/>
    <w:pPr>
      <w:spacing w:line="240" w:lineRule="auto"/>
    </w:pPr>
    <w:rPr>
      <w:szCs w:val="20"/>
    </w:rPr>
  </w:style>
  <w:style w:type="character" w:customStyle="1" w:styleId="CommentTextChar">
    <w:name w:val="Comment Text Char"/>
    <w:basedOn w:val="DefaultParagraphFont"/>
    <w:link w:val="CommentText"/>
    <w:uiPriority w:val="99"/>
    <w:rsid w:val="0081162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11620"/>
    <w:rPr>
      <w:b/>
      <w:bCs/>
    </w:rPr>
  </w:style>
  <w:style w:type="character" w:customStyle="1" w:styleId="CommentSubjectChar">
    <w:name w:val="Comment Subject Char"/>
    <w:basedOn w:val="CommentTextChar"/>
    <w:link w:val="CommentSubject"/>
    <w:uiPriority w:val="99"/>
    <w:semiHidden/>
    <w:rsid w:val="00811620"/>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A4B2-441C-45FB-8822-085009B7B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3262</Words>
  <Characters>18595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2026 Gatlinburg Conference Symposium Submission</vt:lpstr>
    </vt:vector>
  </TitlesOfParts>
  <Company>University of Kansas</Company>
  <LinksUpToDate>false</LinksUpToDate>
  <CharactersWithSpaces>21814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Gatlinburg Conference Symposium Submission</dc:title>
  <dc:subject/>
  <dc:creator>Hallberg, Lisa K.</dc:creator>
  <cp:keywords/>
  <dc:description/>
  <cp:lastModifiedBy>Alyssa M Merbler</cp:lastModifiedBy>
  <cp:revision>27</cp:revision>
  <dcterms:created xsi:type="dcterms:W3CDTF">2026-04-08T23:53:00Z</dcterms:created>
  <dcterms:modified xsi:type="dcterms:W3CDTF">2026-04-09T16:23:00Z</dcterms:modified>
</cp:coreProperties>
</file>